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footer2.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document.xml" ContentType="application/vnd.openxmlformats-officedocument.wordprocessingml.document.main+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docProps/app.xml" ContentType="application/vnd.openxmlformats-officedocument.extended-properties+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1016"/>
        <w:pBdr/>
        <w:spacing w:after="120" w:line="240" w:lineRule="auto"/>
        <w:ind/>
        <w:jc w:val="center"/>
        <w:rPr/>
      </w:pPr>
      <w:r>
        <w:t xml:space="preserve">AGREEMENT ON THE PROCUREMENT OF SERVICES IN THE FIELD OF INFORMATION AND COMMUNICATION TECHNOLOGIES </w:t>
      </w:r>
      <w:r/>
    </w:p>
    <w:p>
      <w:pPr>
        <w:pBdr/>
        <w:spacing w:after="120" w:line="240" w:lineRule="auto"/>
        <w:ind/>
        <w:jc w:val="center"/>
        <w:rPr>
          <w:rFonts w:ascii="Arial" w:hAnsi="Arial" w:eastAsia="Calibri" w:cs="Arial"/>
          <w:color w:val="000000" w:themeColor="text1"/>
        </w:rPr>
      </w:pPr>
      <w:r>
        <w:rPr>
          <w:rFonts w:ascii="Arial" w:hAnsi="Arial" w:eastAsia="Calibri" w:cs="Arial"/>
          <w:color w:val="000000" w:themeColor="text1"/>
        </w:rPr>
      </w:r>
      <w:r>
        <w:rPr>
          <w:rFonts w:ascii="Arial" w:hAnsi="Arial" w:eastAsia="Calibri" w:cs="Arial"/>
          <w:color w:val="000000" w:themeColor="text1"/>
        </w:rPr>
      </w:r>
    </w:p>
    <w:p>
      <w:pPr>
        <w:pStyle w:val="1017"/>
        <w:pBdr/>
        <w:spacing w:after="120" w:before="120" w:line="240" w:lineRule="auto"/>
        <w:ind/>
        <w:jc w:val="both"/>
        <w:rPr>
          <w:color w:val="000000" w:themeColor="text1"/>
        </w:rPr>
      </w:pPr>
      <w:r>
        <w:rPr>
          <w:color w:val="000000" w:themeColor="text1"/>
        </w:rPr>
        <w:t xml:space="preserve">This Agreement is concluded in </w:t>
      </w:r>
      <w:permStart w:edGrp="everyone" w:id="1949313165"/>
      <w:r>
        <w:t xml:space="preserve">_________, </w:t>
      </w:r>
      <w:r>
        <w:rPr>
          <w:color w:val="000000" w:themeColor="text1"/>
        </w:rPr>
        <w:t xml:space="preserve">on ________, </w:t>
      </w:r>
      <w:permEnd w:id="1949313165"/>
      <w:r>
        <w:rPr>
          <w:color w:val="000000" w:themeColor="text1"/>
        </w:rPr>
        <w:t xml:space="preserve">by and between the following Parties:</w:t>
      </w:r>
      <w:r>
        <w:rPr>
          <w:color w:val="000000" w:themeColor="text1"/>
        </w:rPr>
      </w:r>
    </w:p>
    <w:p>
      <w:pPr>
        <w:pBdr/>
        <w:spacing w:after="120" w:before="120" w:line="240" w:lineRule="auto"/>
        <w:ind/>
        <w:jc w:val="both"/>
        <w:rPr>
          <w:rFonts w:ascii="Arial" w:hAnsi="Arial" w:eastAsia="Calibri" w:cs="Arial"/>
          <w:color w:val="000000" w:themeColor="text1"/>
        </w:rPr>
      </w:pPr>
      <w:r>
        <w:rPr>
          <w:rFonts w:ascii="Arial" w:hAnsi="Arial" w:eastAsia="Calibri" w:cs="Arial"/>
          <w:color w:val="000000" w:themeColor="text1"/>
        </w:rPr>
      </w:r>
      <w:r>
        <w:rPr>
          <w:rFonts w:ascii="Arial" w:hAnsi="Arial" w:eastAsia="Calibri" w:cs="Arial"/>
          <w:color w:val="000000" w:themeColor="text1"/>
        </w:rPr>
      </w:r>
    </w:p>
    <w:p>
      <w:pPr>
        <w:pStyle w:val="1017"/>
        <w:pBdr/>
        <w:spacing w:after="120" w:before="120" w:line="240" w:lineRule="auto"/>
        <w:ind/>
        <w:jc w:val="both"/>
        <w:rPr>
          <w:color w:val="000000" w:themeColor="text1"/>
        </w:rPr>
      </w:pPr>
      <w:r>
        <w:rPr>
          <w:color w:val="000000" w:themeColor="text1"/>
        </w:rPr>
        <w:t xml:space="preserve">The company for exploration, production, refini</w:t>
      </w:r>
      <w:r>
        <w:rPr>
          <w:color w:val="000000" w:themeColor="text1"/>
        </w:rPr>
        <w:t xml:space="preserve">ng, sales, and distribution of oil and petroleum products and exploration and production of natural gas Naftna Industrija Srbije j.s.c. Novi Sad, 12 Narodnog Fronta Street, Novi Sad, registration number: 20084693, TIN: 104052135 (hereinafter: the Client), </w:t>
      </w:r>
      <w:permStart w:edGrp="everyone" w:id="1987518421"/>
      <w:r>
        <w:rPr>
          <w:color w:val="000000" w:themeColor="text1"/>
        </w:rPr>
        <w:t xml:space="preserve">represented</w:t>
      </w:r>
      <w:r>
        <w:rPr>
          <w:color w:val="000000" w:themeColor="text1"/>
        </w:rPr>
        <w:t xml:space="preserve"> by </w:t>
      </w:r>
      <w:r>
        <w:rPr>
          <w:szCs w:val="22"/>
          <w:lang w:val="sr-Cyrl-RS"/>
        </w:rPr>
        <w:t xml:space="preserve">${</w:t>
      </w:r>
      <w:r>
        <w:rPr>
          <w:szCs w:val="22"/>
          <w:lang w:val="sr-Cyrl-RS"/>
        </w:rPr>
        <w:t xml:space="preserve">zastupnik_nis_sve</w:t>
      </w:r>
      <w:r>
        <w:rPr>
          <w:szCs w:val="22"/>
          <w:lang w:val="sr-Cyrl-RS"/>
        </w:rPr>
        <w:t xml:space="preserve">}</w:t>
      </w:r>
      <w:r>
        <w:rPr>
          <w:color w:val="000000" w:themeColor="text1"/>
        </w:rPr>
        <w:t xml:space="preserve">, on the basis of the Power of Attorney No </w:t>
      </w:r>
      <w:r>
        <w:rPr>
          <w:szCs w:val="22"/>
          <w:lang w:val="sr-Cyrl-RS"/>
        </w:rPr>
        <w:t xml:space="preserve">${</w:t>
      </w:r>
      <w:r>
        <w:rPr>
          <w:szCs w:val="22"/>
          <w:lang w:val="sr-Cyrl-RS"/>
        </w:rPr>
        <w:t xml:space="preserve">ugovor_punomocje_broj</w:t>
      </w:r>
      <w:r>
        <w:rPr>
          <w:szCs w:val="22"/>
          <w:lang w:val="sr-Cyrl-RS"/>
        </w:rPr>
        <w:t xml:space="preserve">}</w:t>
      </w:r>
      <w:permEnd w:id="1987518421"/>
      <w:r/>
      <w:r>
        <w:rPr>
          <w:color w:val="000000" w:themeColor="text1"/>
        </w:rPr>
      </w:r>
    </w:p>
    <w:p>
      <w:pPr>
        <w:pStyle w:val="1018"/>
        <w:pBdr/>
        <w:spacing w:after="120" w:before="120" w:line="240" w:lineRule="auto"/>
        <w:ind/>
        <w:jc w:val="both"/>
        <w:rPr/>
      </w:pPr>
      <w:r>
        <w:t xml:space="preserve">and</w:t>
      </w:r>
      <w:r/>
    </w:p>
    <w:p>
      <w:pPr>
        <w:pStyle w:val="1031"/>
        <w:pBdr/>
        <w:spacing w:after="0" w:afterAutospacing="0" w:before="0" w:beforeAutospacing="0"/>
        <w:ind/>
        <w:jc w:val="both"/>
        <w:rPr>
          <w:rFonts w:ascii="Arial" w:hAnsi="Arial" w:cs="Arial"/>
          <w:sz w:val="22"/>
          <w:szCs w:val="22"/>
          <w:lang w:val="sr-Cyrl-RS"/>
        </w:rPr>
      </w:pPr>
      <w:r/>
      <w:permStart w:edGrp="everyone" w:id="1429870361"/>
      <w:r>
        <w:rPr>
          <w:rFonts w:ascii="Arial" w:hAnsi="Arial" w:cs="Arial"/>
          <w:sz w:val="22"/>
          <w:szCs w:val="22"/>
          <w:lang w:val="sr-Cyrl-RS"/>
        </w:rPr>
        <w:t xml:space="preserve">${</w:t>
      </w:r>
      <w:r>
        <w:rPr>
          <w:rFonts w:ascii="Arial" w:hAnsi="Arial" w:cs="Arial"/>
          <w:sz w:val="22"/>
          <w:szCs w:val="22"/>
          <w:lang w:val="sr-Cyrl-RS"/>
        </w:rPr>
        <w:t xml:space="preserve">komitent_naziv</w:t>
      </w:r>
      <w:r>
        <w:rPr>
          <w:rFonts w:ascii="Arial" w:hAnsi="Arial" w:cs="Arial"/>
          <w:sz w:val="22"/>
          <w:szCs w:val="22"/>
          <w:lang w:val="sr-Cyrl-RS"/>
        </w:rPr>
        <w:t xml:space="preserve">}, </w:t>
      </w:r>
      <w:r>
        <w:rPr>
          <w:rFonts w:ascii="Arial" w:hAnsi="Arial" w:cs="Arial"/>
          <w:sz w:val="22"/>
          <w:szCs w:val="22"/>
          <w:lang w:val="sr-Cyrl-RS"/>
        </w:rPr>
        <w:t xml:space="preserve">with</w:t>
      </w:r>
      <w:r>
        <w:rPr>
          <w:rFonts w:ascii="Arial" w:hAnsi="Arial" w:cs="Arial"/>
          <w:sz w:val="22"/>
          <w:szCs w:val="22"/>
          <w:lang w:val="sr-Cyrl-RS"/>
        </w:rPr>
        <w:t xml:space="preserve"> </w:t>
      </w:r>
      <w:r>
        <w:rPr>
          <w:rFonts w:ascii="Arial" w:hAnsi="Arial" w:cs="Arial"/>
          <w:sz w:val="22"/>
          <w:szCs w:val="22"/>
          <w:lang w:val="sr-Cyrl-RS"/>
        </w:rPr>
        <w:t xml:space="preserve">its</w:t>
      </w:r>
      <w:r>
        <w:rPr>
          <w:rFonts w:ascii="Arial" w:hAnsi="Arial" w:cs="Arial"/>
          <w:sz w:val="22"/>
          <w:szCs w:val="22"/>
          <w:lang w:val="sr-Cyrl-RS"/>
        </w:rPr>
        <w:t xml:space="preserve"> </w:t>
      </w:r>
      <w:r>
        <w:rPr>
          <w:rFonts w:ascii="Arial" w:hAnsi="Arial" w:cs="Arial"/>
          <w:sz w:val="22"/>
          <w:szCs w:val="22"/>
          <w:lang w:val="sr-Cyrl-RS"/>
        </w:rPr>
        <w:t xml:space="preserve">registered</w:t>
      </w:r>
      <w:r>
        <w:rPr>
          <w:rFonts w:ascii="Arial" w:hAnsi="Arial" w:cs="Arial"/>
          <w:sz w:val="22"/>
          <w:szCs w:val="22"/>
          <w:lang w:val="sr-Cyrl-RS"/>
        </w:rPr>
        <w:t xml:space="preserve"> office </w:t>
      </w:r>
      <w:r>
        <w:rPr>
          <w:rFonts w:ascii="Arial" w:hAnsi="Arial" w:cs="Arial"/>
          <w:sz w:val="22"/>
          <w:szCs w:val="22"/>
          <w:lang w:val="sr-Cyrl-RS"/>
        </w:rPr>
        <w:t xml:space="preserve">in</w:t>
      </w:r>
      <w:r>
        <w:rPr>
          <w:rFonts w:ascii="Arial" w:hAnsi="Arial" w:cs="Arial"/>
          <w:sz w:val="22"/>
          <w:szCs w:val="22"/>
          <w:lang w:val="sr-Cyrl-RS"/>
        </w:rPr>
        <w:t xml:space="preserve"> ${</w:t>
      </w:r>
      <w:r>
        <w:rPr>
          <w:rFonts w:ascii="Arial" w:hAnsi="Arial" w:cs="Arial"/>
          <w:sz w:val="22"/>
          <w:szCs w:val="22"/>
          <w:lang w:val="sr-Cyrl-RS"/>
        </w:rPr>
        <w:t xml:space="preserve">komitent_sediste</w:t>
      </w:r>
      <w:r>
        <w:rPr>
          <w:rFonts w:ascii="Arial" w:hAnsi="Arial" w:cs="Arial"/>
          <w:sz w:val="22"/>
          <w:szCs w:val="22"/>
          <w:lang w:val="sr-Cyrl-RS"/>
        </w:rPr>
        <w:t xml:space="preserve">}, </w:t>
      </w:r>
      <w:r>
        <w:rPr>
          <w:rFonts w:ascii="Arial" w:hAnsi="Arial" w:cs="Arial"/>
          <w:sz w:val="22"/>
          <w:szCs w:val="22"/>
          <w:lang w:val="sr-Cyrl-RS"/>
        </w:rPr>
        <w:t xml:space="preserve">registration</w:t>
      </w:r>
      <w:r>
        <w:rPr>
          <w:rFonts w:ascii="Arial" w:hAnsi="Arial" w:cs="Arial"/>
          <w:sz w:val="22"/>
          <w:szCs w:val="22"/>
          <w:lang w:val="sr-Cyrl-RS"/>
        </w:rPr>
        <w:t xml:space="preserve"> </w:t>
      </w:r>
      <w:r>
        <w:rPr>
          <w:rFonts w:ascii="Arial" w:hAnsi="Arial" w:cs="Arial"/>
          <w:sz w:val="22"/>
          <w:szCs w:val="22"/>
          <w:lang w:val="sr-Cyrl-RS"/>
        </w:rPr>
        <w:t xml:space="preserve">number</w:t>
      </w:r>
      <w:r>
        <w:rPr>
          <w:rFonts w:ascii="Arial" w:hAnsi="Arial" w:cs="Arial"/>
          <w:sz w:val="22"/>
          <w:szCs w:val="22"/>
          <w:lang w:val="sr-Cyrl-RS"/>
        </w:rPr>
        <w:t xml:space="preserve"> ${</w:t>
      </w:r>
      <w:r>
        <w:rPr>
          <w:rFonts w:ascii="Arial" w:hAnsi="Arial" w:cs="Arial"/>
          <w:sz w:val="22"/>
          <w:szCs w:val="22"/>
          <w:lang w:val="sr-Cyrl-RS"/>
        </w:rPr>
        <w:t xml:space="preserve">komitent_mb</w:t>
      </w:r>
      <w:r>
        <w:rPr>
          <w:rFonts w:ascii="Arial" w:hAnsi="Arial" w:cs="Arial"/>
          <w:sz w:val="22"/>
          <w:szCs w:val="22"/>
          <w:lang w:val="sr-Cyrl-RS"/>
        </w:rPr>
        <w:t xml:space="preserve">}, TIN ${</w:t>
      </w:r>
      <w:r>
        <w:rPr>
          <w:rFonts w:ascii="Arial" w:hAnsi="Arial" w:cs="Arial"/>
          <w:sz w:val="22"/>
          <w:szCs w:val="22"/>
          <w:lang w:val="sr-Cyrl-RS"/>
        </w:rPr>
        <w:t xml:space="preserve">komitent_pib</w:t>
      </w:r>
      <w:r>
        <w:rPr>
          <w:rFonts w:ascii="Arial" w:hAnsi="Arial" w:cs="Arial"/>
          <w:sz w:val="22"/>
          <w:szCs w:val="22"/>
          <w:lang w:val="sr-Cyrl-RS"/>
        </w:rPr>
        <w:t xml:space="preserve">}  (</w:t>
      </w:r>
      <w:r>
        <w:rPr>
          <w:rFonts w:ascii="Arial" w:hAnsi="Arial" w:cs="Arial"/>
          <w:sz w:val="22"/>
          <w:szCs w:val="22"/>
          <w:lang w:val="sr-Cyrl-RS"/>
        </w:rPr>
        <w:t xml:space="preserve">hereinafter</w:t>
      </w:r>
      <w:r>
        <w:rPr>
          <w:rFonts w:ascii="Arial" w:hAnsi="Arial" w:cs="Arial"/>
          <w:sz w:val="22"/>
          <w:szCs w:val="22"/>
          <w:lang w:val="sr-Cyrl-RS"/>
        </w:rPr>
        <w:t xml:space="preserve">: </w:t>
      </w:r>
      <w:r>
        <w:rPr>
          <w:rFonts w:ascii="Arial" w:hAnsi="Arial" w:cs="Arial"/>
          <w:sz w:val="22"/>
          <w:szCs w:val="22"/>
          <w:lang w:val="sr-Cyrl-RS"/>
        </w:rPr>
        <w:t xml:space="preserve">the</w:t>
      </w:r>
      <w:r>
        <w:rPr>
          <w:rFonts w:ascii="Arial" w:hAnsi="Arial" w:cs="Arial"/>
          <w:sz w:val="22"/>
          <w:szCs w:val="22"/>
          <w:lang w:val="sr-Cyrl-RS"/>
        </w:rPr>
        <w:t xml:space="preserve"> </w:t>
      </w:r>
      <w:r>
        <w:rPr>
          <w:rFonts w:ascii="Arial" w:hAnsi="Arial" w:cs="Arial"/>
          <w:sz w:val="22"/>
          <w:szCs w:val="22"/>
          <w:lang w:val="sr-Cyrl-RS"/>
        </w:rPr>
        <w:t xml:space="preserve">Contractor</w:t>
      </w:r>
      <w:r>
        <w:rPr>
          <w:rFonts w:ascii="Arial" w:hAnsi="Arial" w:cs="Arial"/>
          <w:sz w:val="22"/>
          <w:szCs w:val="22"/>
          <w:lang w:val="sr-Cyrl-RS"/>
        </w:rPr>
        <w:t xml:space="preserve">), </w:t>
      </w:r>
      <w:r>
        <w:rPr>
          <w:rFonts w:ascii="Arial" w:hAnsi="Arial" w:cs="Arial"/>
          <w:sz w:val="22"/>
          <w:szCs w:val="22"/>
          <w:lang w:val="sr-Cyrl-RS"/>
        </w:rPr>
        <w:t xml:space="preserve">represented</w:t>
      </w:r>
      <w:r>
        <w:rPr>
          <w:rFonts w:ascii="Arial" w:hAnsi="Arial" w:cs="Arial"/>
          <w:sz w:val="22"/>
          <w:szCs w:val="22"/>
          <w:lang w:val="sr-Cyrl-RS"/>
        </w:rPr>
        <w:t xml:space="preserve"> </w:t>
      </w:r>
      <w:r>
        <w:rPr>
          <w:rFonts w:ascii="Arial" w:hAnsi="Arial" w:cs="Arial"/>
          <w:sz w:val="22"/>
          <w:szCs w:val="22"/>
          <w:lang w:val="sr-Cyrl-RS"/>
        </w:rPr>
        <w:t xml:space="preserve">by</w:t>
      </w:r>
      <w:r>
        <w:rPr>
          <w:rFonts w:ascii="Arial" w:hAnsi="Arial" w:cs="Arial"/>
          <w:sz w:val="22"/>
          <w:szCs w:val="22"/>
          <w:lang w:val="sr-Cyrl-RS"/>
        </w:rPr>
        <w:t xml:space="preserve"> ${</w:t>
      </w:r>
      <w:r>
        <w:rPr>
          <w:rFonts w:ascii="Arial" w:hAnsi="Arial" w:cs="Arial"/>
          <w:sz w:val="22"/>
          <w:szCs w:val="22"/>
          <w:lang w:val="sr-Cyrl-RS"/>
        </w:rPr>
        <w:t xml:space="preserve">zastupnik_komitent_sve</w:t>
      </w:r>
      <w:r>
        <w:rPr>
          <w:rFonts w:ascii="Arial" w:hAnsi="Arial" w:cs="Arial"/>
          <w:sz w:val="22"/>
          <w:szCs w:val="22"/>
          <w:lang w:val="sr-Cyrl-RS"/>
        </w:rPr>
        <w:t xml:space="preserve">}, </w:t>
      </w:r>
      <w:r>
        <w:rPr>
          <w:rFonts w:ascii="Arial" w:hAnsi="Arial" w:cs="Arial"/>
          <w:sz w:val="22"/>
          <w:szCs w:val="22"/>
          <w:lang w:val="sr-Cyrl-RS"/>
        </w:rPr>
        <w:t xml:space="preserve">on</w:t>
      </w:r>
      <w:r>
        <w:rPr>
          <w:rFonts w:ascii="Arial" w:hAnsi="Arial" w:cs="Arial"/>
          <w:sz w:val="22"/>
          <w:szCs w:val="22"/>
          <w:lang w:val="sr-Cyrl-RS"/>
        </w:rPr>
        <w:t xml:space="preserve"> </w:t>
      </w:r>
      <w:r>
        <w:rPr>
          <w:rFonts w:ascii="Arial" w:hAnsi="Arial" w:cs="Arial"/>
          <w:sz w:val="22"/>
          <w:szCs w:val="22"/>
          <w:lang w:val="sr-Cyrl-RS"/>
        </w:rPr>
        <w:t xml:space="preserve">the</w:t>
      </w:r>
      <w:r>
        <w:rPr>
          <w:rFonts w:ascii="Arial" w:hAnsi="Arial" w:cs="Arial"/>
          <w:sz w:val="22"/>
          <w:szCs w:val="22"/>
          <w:lang w:val="sr-Cyrl-RS"/>
        </w:rPr>
        <w:t xml:space="preserve"> </w:t>
      </w:r>
      <w:r>
        <w:rPr>
          <w:rFonts w:ascii="Arial" w:hAnsi="Arial" w:cs="Arial"/>
          <w:sz w:val="22"/>
          <w:szCs w:val="22"/>
          <w:lang w:val="sr-Cyrl-RS"/>
        </w:rPr>
        <w:t xml:space="preserve">basis</w:t>
      </w:r>
      <w:r>
        <w:rPr>
          <w:rFonts w:ascii="Arial" w:hAnsi="Arial" w:cs="Arial"/>
          <w:sz w:val="22"/>
          <w:szCs w:val="22"/>
          <w:lang w:val="sr-Cyrl-RS"/>
        </w:rPr>
        <w:t xml:space="preserve"> </w:t>
      </w:r>
      <w:r>
        <w:rPr>
          <w:rFonts w:ascii="Arial" w:hAnsi="Arial" w:cs="Arial"/>
          <w:sz w:val="22"/>
          <w:szCs w:val="22"/>
          <w:lang w:val="sr-Cyrl-RS"/>
        </w:rPr>
        <w:t xml:space="preserve">of</w:t>
      </w:r>
      <w:r>
        <w:rPr>
          <w:rFonts w:ascii="Arial" w:hAnsi="Arial" w:cs="Arial"/>
          <w:sz w:val="22"/>
          <w:szCs w:val="22"/>
        </w:rPr>
        <w:t xml:space="preserve"> </w:t>
      </w:r>
      <w:r>
        <w:rPr>
          <w:rFonts w:ascii="Arial" w:hAnsi="Arial" w:cs="Arial"/>
          <w:sz w:val="22"/>
          <w:szCs w:val="22"/>
          <w:lang w:val="sr-Cyrl-RS"/>
        </w:rPr>
        <w:t xml:space="preserve">________________. </w:t>
      </w:r>
      <w:permEnd w:id="1429870361"/>
      <w:r/>
      <w:r>
        <w:rPr>
          <w:rFonts w:ascii="Arial" w:hAnsi="Arial" w:cs="Arial"/>
          <w:sz w:val="22"/>
          <w:szCs w:val="22"/>
          <w:lang w:val="sr-Cyrl-RS"/>
        </w:rPr>
      </w:r>
    </w:p>
    <w:p>
      <w:pPr>
        <w:pStyle w:val="1019"/>
        <w:pBdr/>
        <w:spacing w:after="80" w:before="80"/>
        <w:ind/>
        <w:jc w:val="both"/>
        <w:rPr/>
      </w:pPr>
      <w:r>
        <w:t xml:space="preserve">hereinafter collectively referred to as the "Parties", and individually as the "Party".</w:t>
      </w:r>
      <w:r/>
    </w:p>
    <w:p>
      <w:pPr>
        <w:pStyle w:val="1019"/>
        <w:pBdr/>
        <w:spacing w:after="80" w:before="80"/>
        <w:ind/>
        <w:jc w:val="both"/>
        <w:rPr/>
      </w:pPr>
      <w:r/>
      <w:permStart w:edGrp="everyone" w:id="1848792085"/>
      <w:r>
        <w:t xml:space="preserve">PREAMBLE</w:t>
      </w:r>
      <w:bookmarkStart w:id="0" w:name="_GoBack"/>
      <w:r/>
      <w:bookmarkEnd w:id="0"/>
      <w:r/>
      <w:r/>
    </w:p>
    <w:p>
      <w:pPr>
        <w:pStyle w:val="1019"/>
        <w:pBdr/>
        <w:spacing w:after="80" w:before="80"/>
        <w:ind/>
        <w:jc w:val="both"/>
        <w:rPr/>
      </w:pPr>
      <w:r>
        <w:t xml:space="preserve">Before the conclusion of this Contract, the (PARTNER) </w:t>
      </w:r>
      <w:r>
        <w:t xml:space="preserve">was informed</w:t>
      </w:r>
      <w:r>
        <w:t xml:space="preserve"> that NIS </w:t>
      </w:r>
      <w:r>
        <w:t xml:space="preserve">jsc</w:t>
      </w:r>
      <w:r>
        <w:t xml:space="preserve"> Novi Sad (in accordance with Executive Order 14024 and Executive Order 13662) was sanctioned by the United States, i.e. that it was designated on the SDN (Specially Designated Nationals) List of OFAC (Office of Foreign Assets Control).</w:t>
      </w:r>
      <w:permEnd w:id="1848792085"/>
      <w:r/>
    </w:p>
    <w:p>
      <w:pPr>
        <w:pBdr/>
        <w:spacing w:after="120" w:before="120" w:line="240" w:lineRule="auto"/>
        <w:ind/>
        <w:jc w:val="both"/>
        <w:rPr>
          <w:rFonts w:ascii="Arial" w:hAnsi="Arial" w:eastAsia="Calibri" w:cs="Arial"/>
          <w:color w:val="000000" w:themeColor="text1"/>
        </w:rPr>
      </w:pPr>
      <w:r>
        <w:rPr>
          <w:rFonts w:ascii="Arial" w:hAnsi="Arial" w:eastAsia="Calibri" w:cs="Arial"/>
          <w:color w:val="000000" w:themeColor="text1"/>
        </w:rPr>
      </w:r>
      <w:r>
        <w:rPr>
          <w:rFonts w:ascii="Arial" w:hAnsi="Arial" w:eastAsia="Calibri" w:cs="Arial"/>
          <w:color w:val="000000" w:themeColor="text1"/>
        </w:rPr>
      </w:r>
    </w:p>
    <w:p>
      <w:pPr>
        <w:pStyle w:val="1018"/>
        <w:pBdr/>
        <w:spacing w:after="120" w:before="120" w:line="240" w:lineRule="auto"/>
        <w:ind/>
        <w:jc w:val="center"/>
        <w:rPr/>
      </w:pPr>
      <w:r>
        <w:rPr>
          <w:b/>
        </w:rPr>
        <w:t xml:space="preserve">1.</w:t>
      </w:r>
      <w:r>
        <w:tab/>
      </w:r>
      <w:r>
        <w:rPr>
          <w:b/>
        </w:rPr>
        <w:t xml:space="preserve">SUBJECT MATTER</w:t>
      </w:r>
      <w:r/>
    </w:p>
    <w:p>
      <w:pPr>
        <w:pStyle w:val="1017"/>
        <w:pBdr/>
        <w:spacing w:after="120" w:before="120" w:line="240" w:lineRule="auto"/>
        <w:ind/>
        <w:jc w:val="both"/>
        <w:rPr/>
      </w:pPr>
      <w:r>
        <w:rPr>
          <w:b/>
          <w:color w:val="000000" w:themeColor="text1"/>
        </w:rPr>
        <w:t xml:space="preserve">1.1</w:t>
      </w:r>
      <w:r>
        <w:rPr>
          <w:color w:val="000000" w:themeColor="text1"/>
        </w:rPr>
        <w:tab/>
        <w:t xml:space="preserve">The subject matter of this Agreement is the procurement of services in the field of information and communication technologies (hereinafter: Services) that the Contractor is obliged to deliver </w:t>
      </w:r>
      <w:r>
        <w:t xml:space="preserve">to the </w:t>
      </w:r>
      <w:r>
        <w:rPr>
          <w:color w:val="000000" w:themeColor="text1"/>
        </w:rPr>
        <w:t xml:space="preserve">Client, in accordance with the provisions of this Agreement and in accordance with </w:t>
      </w:r>
      <w:permStart w:edGrp="everyone" w:id="490815692"/>
      <w:r>
        <w:rPr>
          <w:color w:val="000000" w:themeColor="text1"/>
        </w:rPr>
        <w:t xml:space="preserve">the</w:t>
      </w:r>
      <w:r>
        <w:rPr>
          <w:color w:val="000000" w:themeColor="text1"/>
        </w:rPr>
        <w:t xml:space="preserve"> </w:t>
      </w:r>
      <w:r>
        <w:t xml:space="preserve">Specification (hereinafter: Appendix 1) and the Technical Assignment (hereinafter: Appendix 3).</w:t>
      </w:r>
      <w:permEnd w:id="490815692"/>
      <w:r/>
      <w:r/>
    </w:p>
    <w:p>
      <w:pPr>
        <w:pBdr/>
        <w:spacing w:after="0" w:line="240" w:lineRule="auto"/>
        <w:ind/>
        <w:jc w:val="both"/>
        <w:rPr>
          <w:rFonts w:ascii="Arial" w:hAnsi="Arial" w:eastAsia="Times New Roman" w:cs="Arial"/>
          <w:shd w:val="clear" w:color="auto" w:fill="ffffff"/>
          <w:lang w:val="en-US" w:eastAsia="lt-LT"/>
        </w:rPr>
      </w:pPr>
      <w:r>
        <w:rPr>
          <w:b/>
        </w:rPr>
        <w:t xml:space="preserve"> </w:t>
      </w:r>
      <w:r>
        <w:rPr>
          <w:rFonts w:ascii="Arial" w:hAnsi="Arial" w:eastAsia="Times New Roman" w:cs="Arial"/>
          <w:b/>
          <w:shd w:val="clear" w:color="auto" w:fill="ffffff"/>
          <w:lang w:val="en-US" w:eastAsia="lt-LT"/>
        </w:rPr>
        <w:t xml:space="preserve">1.2</w:t>
      </w:r>
      <w:r>
        <w:rPr>
          <w:rFonts w:ascii="Arial" w:hAnsi="Arial" w:eastAsia="Times New Roman" w:cs="Arial"/>
          <w:shd w:val="clear" w:color="auto" w:fill="ffffff"/>
          <w:lang w:val="en-US" w:eastAsia="lt-LT"/>
        </w:rPr>
        <w:t xml:space="preserve">. The priority in interpretation is given to documents in the following order:</w:t>
      </w:r>
      <w:r>
        <w:rPr>
          <w:rFonts w:ascii="Arial" w:hAnsi="Arial" w:eastAsia="Times New Roman" w:cs="Arial"/>
          <w:shd w:val="clear" w:color="auto" w:fill="ffffff"/>
          <w:lang w:val="en-US" w:eastAsia="lt-LT"/>
        </w:rPr>
      </w:r>
    </w:p>
    <w:p>
      <w:pPr>
        <w:pBdr/>
        <w:spacing w:after="0" w:line="240" w:lineRule="auto"/>
        <w:ind/>
        <w:jc w:val="both"/>
        <w:rPr>
          <w:rFonts w:ascii="Arial" w:hAnsi="Arial" w:eastAsia="Times New Roman" w:cs="Arial"/>
          <w:shd w:val="clear" w:color="auto" w:fill="ffffff"/>
          <w:lang w:val="en-US" w:eastAsia="lt-LT"/>
        </w:rPr>
      </w:pPr>
      <w:r>
        <w:rPr>
          <w:rFonts w:ascii="Arial" w:hAnsi="Arial" w:eastAsia="Times New Roman" w:cs="Arial"/>
          <w:shd w:val="clear" w:color="auto" w:fill="ffffff"/>
          <w:lang w:val="en-US" w:eastAsia="lt-LT"/>
        </w:rPr>
      </w:r>
      <w:r>
        <w:rPr>
          <w:rFonts w:ascii="Arial" w:hAnsi="Arial" w:eastAsia="Times New Roman" w:cs="Arial"/>
          <w:shd w:val="clear" w:color="auto" w:fill="ffffff"/>
          <w:lang w:val="en-US" w:eastAsia="lt-LT"/>
        </w:rPr>
      </w:r>
    </w:p>
    <w:p>
      <w:pPr>
        <w:pBdr/>
        <w:spacing w:after="0" w:line="240" w:lineRule="auto"/>
        <w:ind/>
        <w:jc w:val="both"/>
        <w:rPr>
          <w:rFonts w:ascii="Arial" w:hAnsi="Arial" w:eastAsia="Times New Roman" w:cs="Arial"/>
          <w:shd w:val="clear" w:color="auto" w:fill="ffffff"/>
          <w:lang w:val="en-US" w:eastAsia="lt-LT"/>
        </w:rPr>
      </w:pPr>
      <w:r>
        <w:rPr>
          <w:rFonts w:ascii="Arial" w:hAnsi="Arial" w:eastAsia="Times New Roman" w:cs="Arial"/>
          <w:shd w:val="clear" w:color="auto" w:fill="ffffff"/>
          <w:lang w:val="en-US" w:eastAsia="lt-LT"/>
        </w:rPr>
        <w:t xml:space="preserve">- </w:t>
      </w:r>
      <w:r>
        <w:rPr>
          <w:rFonts w:ascii="Arial" w:hAnsi="Arial" w:eastAsia="Times New Roman" w:cs="Arial"/>
          <w:shd w:val="clear" w:color="auto" w:fill="ffffff"/>
          <w:lang w:eastAsia="lt-LT"/>
        </w:rPr>
        <w:t xml:space="preserve">Appendix 1 – Specification</w:t>
      </w:r>
      <w:r>
        <w:rPr>
          <w:rFonts w:ascii="Arial" w:hAnsi="Arial" w:eastAsia="Times New Roman" w:cs="Arial"/>
          <w:shd w:val="clear" w:color="auto" w:fill="ffffff"/>
          <w:lang w:val="en-US" w:eastAsia="lt-LT"/>
        </w:rPr>
      </w:r>
    </w:p>
    <w:p>
      <w:pPr>
        <w:pBdr/>
        <w:spacing w:after="0" w:line="240" w:lineRule="auto"/>
        <w:ind/>
        <w:jc w:val="both"/>
        <w:rPr>
          <w:rFonts w:ascii="Arial" w:hAnsi="Arial" w:eastAsia="Times New Roman" w:cs="Arial"/>
          <w:shd w:val="clear" w:color="auto" w:fill="ffffff"/>
          <w:lang w:val="en-US" w:eastAsia="lt-LT"/>
        </w:rPr>
      </w:pPr>
      <w:r>
        <w:rPr>
          <w:rFonts w:ascii="Arial" w:hAnsi="Arial" w:eastAsia="Times New Roman" w:cs="Arial"/>
          <w:shd w:val="clear" w:color="auto" w:fill="ffffff"/>
          <w:lang w:val="en-US" w:eastAsia="lt-LT"/>
        </w:rPr>
        <w:t xml:space="preserve">- </w:t>
      </w:r>
      <w:r>
        <w:rPr>
          <w:rFonts w:ascii="Arial" w:hAnsi="Arial" w:eastAsia="Times New Roman" w:cs="Arial"/>
          <w:shd w:val="clear" w:color="auto" w:fill="ffffff"/>
          <w:lang w:eastAsia="lt-LT"/>
        </w:rPr>
        <w:t xml:space="preserve">Appendix</w:t>
      </w:r>
      <w:r>
        <w:rPr>
          <w:rFonts w:ascii="Arial" w:hAnsi="Arial" w:eastAsia="Times New Roman" w:cs="Arial"/>
          <w:shd w:val="clear" w:color="auto" w:fill="ffffff"/>
          <w:lang w:val="en-US" w:eastAsia="lt-LT"/>
        </w:rPr>
        <w:t xml:space="preserve"> </w:t>
      </w:r>
      <w:r>
        <w:rPr>
          <w:rFonts w:ascii="Arial" w:hAnsi="Arial" w:eastAsia="Times New Roman" w:cs="Arial"/>
          <w:shd w:val="clear" w:color="auto" w:fill="ffffff"/>
          <w:lang w:eastAsia="lt-LT"/>
        </w:rPr>
        <w:t xml:space="preserve">2 </w:t>
      </w:r>
      <w:r>
        <w:rPr>
          <w:rFonts w:ascii="Arial" w:hAnsi="Arial" w:eastAsia="Times New Roman" w:cs="Arial"/>
          <w:shd w:val="clear" w:color="auto" w:fill="ffffff"/>
          <w:lang w:val="en-US" w:eastAsia="lt-LT"/>
        </w:rPr>
        <w:t xml:space="preserve">– T</w:t>
      </w:r>
      <w:r>
        <w:rPr>
          <w:rFonts w:ascii="Arial" w:hAnsi="Arial" w:eastAsia="Times New Roman" w:cs="Arial"/>
          <w:shd w:val="clear" w:color="auto" w:fill="ffffff"/>
          <w:lang w:eastAsia="lt-LT"/>
        </w:rPr>
        <w:t xml:space="preserve">echnical Assignment</w:t>
      </w:r>
      <w:r>
        <w:rPr>
          <w:rFonts w:ascii="Arial" w:hAnsi="Arial" w:eastAsia="Times New Roman" w:cs="Arial"/>
          <w:shd w:val="clear" w:color="auto" w:fill="ffffff"/>
          <w:lang w:val="en-US" w:eastAsia="lt-LT"/>
        </w:rPr>
      </w:r>
    </w:p>
    <w:p>
      <w:pPr>
        <w:pBdr/>
        <w:spacing w:after="0" w:line="240" w:lineRule="auto"/>
        <w:ind/>
        <w:jc w:val="both"/>
        <w:rPr>
          <w:rFonts w:ascii="Arial" w:hAnsi="Arial" w:eastAsia="Times New Roman" w:cs="Arial"/>
          <w:shd w:val="clear" w:color="auto" w:fill="ffffff"/>
          <w:lang w:val="en-US" w:eastAsia="lt-LT"/>
        </w:rPr>
      </w:pPr>
      <w:r>
        <w:rPr>
          <w:rFonts w:ascii="Arial" w:hAnsi="Arial" w:eastAsia="Times New Roman" w:cs="Arial"/>
          <w:shd w:val="clear" w:color="auto" w:fill="ffffff"/>
          <w:lang w:val="en-US" w:eastAsia="lt-LT"/>
        </w:rPr>
        <w:t xml:space="preserve">- </w:t>
      </w:r>
      <w:r>
        <w:rPr>
          <w:rFonts w:ascii="Arial" w:hAnsi="Arial" w:eastAsia="Times New Roman" w:cs="Arial"/>
          <w:shd w:val="clear" w:color="auto" w:fill="ffffff"/>
          <w:lang w:eastAsia="lt-LT"/>
        </w:rPr>
        <w:t xml:space="preserve">Contract</w:t>
      </w:r>
      <w:r>
        <w:rPr>
          <w:rFonts w:ascii="Arial" w:hAnsi="Arial" w:eastAsia="Times New Roman" w:cs="Arial"/>
          <w:shd w:val="clear" w:color="auto" w:fill="ffffff"/>
          <w:lang w:val="en-US" w:eastAsia="lt-LT"/>
        </w:rPr>
      </w:r>
    </w:p>
    <w:p>
      <w:pPr>
        <w:pStyle w:val="1017"/>
        <w:pBdr/>
        <w:spacing w:after="120" w:before="120" w:line="240" w:lineRule="auto"/>
        <w:ind/>
        <w:jc w:val="both"/>
        <w:rPr>
          <w:lang w:val="en-US"/>
        </w:rPr>
      </w:pPr>
      <w:r>
        <w:rPr>
          <w:lang w:val="en-US"/>
        </w:rPr>
        <w:t xml:space="preserve">In the event of discrepancies between the Technical Assignment and the Contract, the Technical Assignment shall prevail in interpretation.</w:t>
      </w:r>
      <w:r>
        <w:rPr>
          <w:lang w:val="en-US"/>
        </w:rPr>
      </w:r>
    </w:p>
    <w:p>
      <w:pPr>
        <w:pStyle w:val="1016"/>
        <w:pBdr/>
        <w:spacing w:after="120" w:before="120" w:line="240" w:lineRule="auto"/>
        <w:ind/>
        <w:jc w:val="both"/>
        <w:rPr/>
      </w:pPr>
      <w:r>
        <w:tab/>
      </w:r>
      <w:r/>
    </w:p>
    <w:p>
      <w:pPr>
        <w:pStyle w:val="1018"/>
        <w:pBdr/>
        <w:spacing w:after="120" w:before="120" w:line="240" w:lineRule="auto"/>
        <w:ind/>
        <w:jc w:val="center"/>
        <w:rPr/>
      </w:pPr>
      <w:r>
        <w:rPr>
          <w:b/>
        </w:rPr>
        <w:t xml:space="preserve">2.</w:t>
      </w:r>
      <w:r>
        <w:tab/>
      </w:r>
      <w:r>
        <w:rPr>
          <w:b/>
        </w:rPr>
        <w:t xml:space="preserve">PRICE AND PAYMENT METHOD</w:t>
      </w:r>
      <w:r/>
    </w:p>
    <w:p>
      <w:pPr>
        <w:pBdr/>
        <w:spacing w:after="0" w:line="240" w:lineRule="auto"/>
        <w:ind/>
        <w:jc w:val="both"/>
        <w:rPr>
          <w:rFonts w:ascii="Arial" w:hAnsi="Arial" w:cs="Arial"/>
          <w:b/>
          <w:i/>
        </w:rPr>
      </w:pPr>
      <w:r>
        <w:rPr>
          <w:rFonts w:ascii="Arial" w:hAnsi="Arial" w:eastAsia="Calibri" w:cs="Arial"/>
          <w:b/>
          <w:color w:val="000000" w:themeColor="text1"/>
        </w:rPr>
        <w:t xml:space="preserve">2.1.</w:t>
      </w:r>
      <w:r>
        <w:rPr>
          <w:rFonts w:ascii="Arial" w:hAnsi="Arial" w:cs="Arial"/>
          <w:color w:val="000000" w:themeColor="text1"/>
        </w:rPr>
        <w:tab/>
        <w:t xml:space="preserve">Prices are listed </w:t>
      </w:r>
      <w:permStart w:edGrp="everyone" w:id="1468628742"/>
      <w:r>
        <w:rPr>
          <w:rFonts w:ascii="Arial" w:hAnsi="Arial" w:cs="Arial"/>
          <w:color w:val="000000" w:themeColor="text1"/>
        </w:rPr>
        <w:t xml:space="preserve">in</w:t>
      </w:r>
      <w:r>
        <w:rPr>
          <w:rFonts w:ascii="Arial" w:hAnsi="Arial" w:cs="Arial"/>
          <w:color w:val="000000" w:themeColor="text1"/>
        </w:rPr>
        <w:t xml:space="preserve"> </w:t>
      </w:r>
      <w:r>
        <w:rPr>
          <w:rFonts w:ascii="Arial" w:hAnsi="Arial" w:cs="Arial"/>
        </w:rPr>
        <w:t xml:space="preserve">Appendix 1 </w:t>
      </w:r>
      <w:r>
        <w:rPr>
          <w:rFonts w:ascii="Arial" w:hAnsi="Arial" w:cs="Arial"/>
          <w:b/>
          <w:i/>
        </w:rPr>
        <w:t xml:space="preserve">[note to the author: it is necessary to define the price with or without VAT, the total and the unit price. For foreign legal entities, the price shall be defined without VAT]</w:t>
      </w:r>
      <w:r>
        <w:rPr>
          <w:rFonts w:ascii="Arial" w:hAnsi="Arial" w:cs="Arial"/>
        </w:rPr>
        <w:t xml:space="preserve">, </w:t>
      </w:r>
      <w:permEnd w:id="1468628742"/>
      <w:r>
        <w:rPr>
          <w:rFonts w:ascii="Arial" w:hAnsi="Arial" w:cs="Arial"/>
        </w:rPr>
        <w:t xml:space="preserve">as</w:t>
      </w:r>
      <w:r>
        <w:rPr>
          <w:rFonts w:ascii="Arial" w:hAnsi="Arial" w:eastAsia="Calibri" w:cs="Arial"/>
          <w:color w:val="000000" w:themeColor="text1"/>
        </w:rPr>
        <w:t xml:space="preserve"> fixed and may not be changed during the term of the Agreement and shall include all costs incurred by the Contractor in connection with the performance of the Services, unless otherwise specified in Appendix 1.</w:t>
      </w:r>
      <w:r>
        <w:rPr>
          <w:rFonts w:ascii="Arial" w:hAnsi="Arial" w:cs="Arial"/>
          <w:b/>
          <w:i/>
        </w:rPr>
      </w:r>
    </w:p>
    <w:p>
      <w:pPr>
        <w:pStyle w:val="1018"/>
        <w:pBdr/>
        <w:spacing w:after="120" w:before="120" w:line="240" w:lineRule="auto"/>
        <w:ind/>
        <w:jc w:val="both"/>
        <w:rPr/>
      </w:pPr>
      <w:r>
        <w:t xml:space="preserve">The Contractor shall have no right to claim p</w:t>
      </w:r>
      <w:r>
        <w:t xml:space="preserve">rice difference or price increase under any conditions, including, without limitation and in the event that there is a change in the price of materials, fuel, labour, and other elements on the basis of which the prices of the Services have been determined.</w:t>
      </w:r>
      <w:r/>
    </w:p>
    <w:p>
      <w:pPr>
        <w:pStyle w:val="1020"/>
        <w:pBdr/>
        <w:spacing w:after="0" w:line="240" w:lineRule="auto"/>
        <w:ind/>
        <w:jc w:val="both"/>
        <w:rPr>
          <w:highlight w:val="none"/>
        </w:rPr>
      </w:pPr>
      <w:r/>
      <w:permStart w:edGrp="everyone" w:id="1359502944"/>
      <w:r>
        <w:rPr>
          <w:highlight w:val="none"/>
        </w:rPr>
        <w:t xml:space="preserve">[</w:t>
      </w:r>
      <w:r>
        <w:rPr>
          <w:highlight w:val="none"/>
        </w:rPr>
        <w:t xml:space="preserve">note</w:t>
      </w:r>
      <w:r>
        <w:rPr>
          <w:highlight w:val="none"/>
        </w:rPr>
        <w:t xml:space="preserve"> to the author: Choose one of two alternative clauses; the other two should be deleted; in case of arranging an advance payment, it is necessary to consult FEPA beforehand]</w:t>
      </w:r>
      <w:r>
        <w:rPr>
          <w:highlight w:val="none"/>
        </w:rPr>
      </w:r>
    </w:p>
    <w:p>
      <w:pPr>
        <w:pStyle w:val="1021"/>
        <w:pBdr/>
        <w:spacing w:after="0" w:line="240" w:lineRule="auto"/>
        <w:ind/>
        <w:jc w:val="both"/>
        <w:rPr/>
      </w:pPr>
      <w:r>
        <w:rPr>
          <w:b/>
          <w:i/>
        </w:rPr>
        <w:t xml:space="preserve">[Option 1 – 100% deferred payment]</w:t>
      </w:r>
      <w:r>
        <w:t xml:space="preserve"> The Client undertakes to pay the agreed price within _____ calendar days from the receipt of the invoice. The deadline starts from the first day following the receipt of the invoice.</w:t>
      </w:r>
      <w:r/>
    </w:p>
    <w:p>
      <w:pPr>
        <w:pStyle w:val="1021"/>
        <w:pBdr/>
        <w:spacing w:after="0" w:line="240" w:lineRule="auto"/>
        <w:ind/>
        <w:jc w:val="both"/>
        <w:rPr/>
      </w:pPr>
      <w:r>
        <w:rPr>
          <w:b/>
          <w:i/>
        </w:rPr>
        <w:t xml:space="preserve">[Option </w:t>
      </w:r>
      <w:r>
        <w:rPr>
          <w:b/>
          <w:i/>
        </w:rPr>
        <w:t xml:space="preserve">2</w:t>
      </w:r>
      <w:r>
        <w:rPr>
          <w:b/>
          <w:i/>
        </w:rPr>
        <w:t xml:space="preserve"> – deferred and advance payment]</w:t>
      </w:r>
      <w:r>
        <w:t xml:space="preserve"> </w:t>
      </w:r>
      <w:r>
        <w:t xml:space="preserve">The Client undertakes to pay a part of the agreed price, __________ </w:t>
      </w:r>
      <w:r>
        <w:rPr>
          <w:b/>
          <w:i/>
        </w:rPr>
        <w:t xml:space="preserve">[note to the author: enter a percentage or absolute amount]</w:t>
      </w:r>
      <w:r>
        <w:t xml:space="preserve"> in advance, within ____ calendar days from the receipt of the pro forma invoice, and the rest up to the full amount, __________ [</w:t>
      </w:r>
      <w:r>
        <w:rPr>
          <w:b/>
          <w:i/>
        </w:rPr>
        <w:t xml:space="preserve">note to the author: enter a percentage or absolute amount]</w:t>
      </w:r>
      <w:r>
        <w:t xml:space="preserve"> within ______ calendar days from the receipt of the final invoice.</w:t>
      </w:r>
      <w:r>
        <w:t xml:space="preserve"> The deadline starts from the first day following the receipt of the invoice / pro forma invoice. The advance payment shall be reconciled with the final invoice no later than the expiry date of the bank guarantee for the refund of the advance payment.</w:t>
      </w:r>
      <w:permEnd w:id="1359502944"/>
      <w:r/>
      <w:r/>
    </w:p>
    <w:p>
      <w:pPr>
        <w:pBdr/>
        <w:spacing w:after="0" w:line="240" w:lineRule="auto"/>
        <w:ind/>
        <w:jc w:val="both"/>
        <w:rPr>
          <w:rFonts w:ascii="Arial" w:hAnsi="Arial" w:cs="Arial"/>
          <w:color w:val="000000" w:themeColor="text1"/>
        </w:rPr>
      </w:pPr>
      <w:r>
        <w:rPr>
          <w:rFonts w:ascii="Arial" w:hAnsi="Arial" w:cs="Arial"/>
          <w:color w:val="000000" w:themeColor="text1"/>
        </w:rPr>
      </w:r>
      <w:r>
        <w:rPr>
          <w:rFonts w:ascii="Arial" w:hAnsi="Arial" w:cs="Arial"/>
          <w:color w:val="000000" w:themeColor="text1"/>
        </w:rPr>
      </w:r>
    </w:p>
    <w:p>
      <w:pPr>
        <w:pStyle w:val="1021"/>
        <w:pBdr/>
        <w:spacing w:after="0" w:line="240" w:lineRule="auto"/>
        <w:ind/>
        <w:jc w:val="both"/>
        <w:rPr/>
      </w:pPr>
      <w:r>
        <w:rPr>
          <w:color w:val="000000" w:themeColor="text1"/>
        </w:rPr>
        <w:t xml:space="preserve">When submitting the </w:t>
      </w:r>
      <w:permStart w:edGrp="everyone" w:id="1921146121"/>
      <w:r>
        <w:rPr>
          <w:color w:val="000000" w:themeColor="text1"/>
        </w:rPr>
        <w:t xml:space="preserve">invoice</w:t>
      </w:r>
      <w:r>
        <w:rPr>
          <w:color w:val="000000" w:themeColor="text1"/>
        </w:rPr>
        <w:t xml:space="preserve"> or pro forma </w:t>
      </w:r>
      <w:permEnd w:id="1921146121"/>
      <w:r>
        <w:rPr>
          <w:color w:val="000000" w:themeColor="text1"/>
        </w:rPr>
        <w:t xml:space="preserve">in</w:t>
      </w:r>
      <w:r>
        <w:rPr>
          <w:color w:val="000000" w:themeColor="text1"/>
        </w:rPr>
        <w:t xml:space="preserve">voice, the Contractor shall specify the name and surname of the procurement officer / organisational unit of NIS j.s.c. Novi Sad, as well as the number of the procurement order or the number of the Agreement in connection with which the invoice is issued. </w:t>
      </w:r>
      <w:permStart w:edGrp="everyone" w:id="163130337"/>
      <w:r>
        <w:t xml:space="preserve">It </w:t>
      </w:r>
      <w:r>
        <w:t xml:space="preserve">shall be deemed</w:t>
      </w:r>
      <w:r>
        <w:t xml:space="preserve"> that the invoice is duly delivered if it is delivered to the Client's address specified in Article 15.4. </w:t>
      </w:r>
      <w:r>
        <w:t xml:space="preserve">of</w:t>
      </w:r>
      <w:r>
        <w:t xml:space="preserve"> this Agreement. [</w:t>
      </w:r>
      <w:r>
        <w:rPr>
          <w:b/>
          <w:i/>
        </w:rPr>
        <w:t xml:space="preserve">note</w:t>
      </w:r>
      <w:r>
        <w:rPr>
          <w:b/>
          <w:i/>
        </w:rPr>
        <w:t xml:space="preserve"> to the author: in the event that the Contractor is the user of SEF, delete the last sentence of this paragraph]</w:t>
      </w:r>
      <w:r/>
    </w:p>
    <w:p>
      <w:pPr>
        <w:pStyle w:val="1021"/>
        <w:pBdr/>
        <w:spacing w:after="0" w:line="240" w:lineRule="auto"/>
        <w:ind/>
        <w:jc w:val="both"/>
        <w:rPr/>
      </w:pPr>
      <w:r>
        <w:t xml:space="preserve">The Contractor undertakes to submit the pro forma invoice within _________________ </w:t>
      </w:r>
      <w:r>
        <w:rPr>
          <w:b/>
          <w:i/>
        </w:rPr>
        <w:t xml:space="preserve">[note to the author: in the event that there is no pro forma invoice, delete the text]</w:t>
      </w:r>
      <w:r>
        <w:rPr>
          <w:b/>
        </w:rPr>
        <w:t xml:space="preserve">.</w:t>
      </w:r>
      <w:permEnd w:id="163130337"/>
      <w:r/>
      <w:r/>
    </w:p>
    <w:p>
      <w:pPr>
        <w:pStyle w:val="1019"/>
        <w:pBdr/>
        <w:spacing w:after="0" w:line="240" w:lineRule="auto"/>
        <w:ind/>
        <w:jc w:val="both"/>
        <w:rPr/>
      </w:pPr>
      <w:r>
        <w:t xml:space="preserve">The Contractor shall send the invoice within 5 (five) calendar days after the date of Service provision.</w:t>
      </w:r>
      <w:r/>
    </w:p>
    <w:p>
      <w:pPr>
        <w:pStyle w:val="1019"/>
        <w:pBdr/>
        <w:spacing w:after="0" w:line="240" w:lineRule="auto"/>
        <w:ind/>
        <w:jc w:val="both"/>
        <w:rPr/>
      </w:pPr>
      <w:r/>
      <w:permStart w:edGrp="everyone" w:id="552935923"/>
      <w:r>
        <w:t xml:space="preserve">If the Contractor fails to act in accordance with the previous paragraph, the Client shall be entitled to calculate and charge it the contractual penalty </w:t>
      </w:r>
      <w:r>
        <w:t xml:space="preserve">in the amount of</w:t>
      </w:r>
      <w:r>
        <w:t xml:space="preserve"> 0.005% of the total value of the delivery, for each day of delay in the delivery of the invoice. </w:t>
      </w:r>
      <w:bookmarkStart w:id="1" w:name="_Hlk185837008"/>
      <w:r>
        <w:t xml:space="preserve">The Contractor shall make the payment </w:t>
      </w:r>
      <w:r>
        <w:t xml:space="preserve">on the basis of</w:t>
      </w:r>
      <w:r>
        <w:t xml:space="preserve"> the submitted calculation within ___________ days from the date of issuing the calculation of the contractual penalty.</w:t>
      </w:r>
      <w:bookmarkEnd w:id="1"/>
      <w:r/>
      <w:permEnd w:id="552935923"/>
      <w:r/>
      <w:r/>
    </w:p>
    <w:p>
      <w:pPr>
        <w:pStyle w:val="1017"/>
        <w:pBdr/>
        <w:spacing w:after="0" w:line="240" w:lineRule="auto"/>
        <w:ind/>
        <w:jc w:val="both"/>
        <w:rPr>
          <w:color w:val="000000" w:themeColor="text1"/>
        </w:rPr>
      </w:pPr>
      <w:r>
        <w:rPr>
          <w:b/>
          <w:color w:val="000000" w:themeColor="text1"/>
        </w:rPr>
        <w:t xml:space="preserve">2.2.</w:t>
      </w:r>
      <w:r>
        <w:rPr>
          <w:color w:val="000000" w:themeColor="text1"/>
        </w:rPr>
        <w:t xml:space="preserve">     The basis for issuing the invoice is the mutually signed Record on the Performed Service, which is an integral part of the Agreement. The Contractor shall enclose this document with the issued invoice. </w:t>
      </w:r>
      <w:r>
        <w:rPr>
          <w:color w:val="000000" w:themeColor="text1"/>
        </w:rPr>
      </w:r>
    </w:p>
    <w:p>
      <w:pPr>
        <w:pStyle w:val="1020"/>
        <w:widowControl w:val="false"/>
        <w:pBdr/>
        <w:spacing w:after="0" w:line="240" w:lineRule="auto"/>
        <w:ind/>
        <w:jc w:val="both"/>
        <w:rPr>
          <w:highlight w:val="none"/>
        </w:rPr>
      </w:pPr>
      <w:r/>
      <w:permStart w:edGrp="everyone" w:id="1523022955"/>
      <w:r>
        <w:rPr>
          <w:highlight w:val="none"/>
        </w:rPr>
        <w:t xml:space="preserve">[</w:t>
      </w:r>
      <w:r>
        <w:rPr>
          <w:highlight w:val="none"/>
        </w:rPr>
        <w:t xml:space="preserve">note</w:t>
      </w:r>
      <w:r>
        <w:rPr>
          <w:highlight w:val="none"/>
        </w:rPr>
        <w:t xml:space="preserve"> to the author: optionally specified item 2.3. –choose one option and delete the other]</w:t>
      </w:r>
      <w:r>
        <w:rPr>
          <w:highlight w:val="none"/>
        </w:rPr>
      </w:r>
    </w:p>
    <w:p>
      <w:pPr>
        <w:pBdr/>
        <w:spacing w:after="120" w:before="120" w:line="240" w:lineRule="auto"/>
        <w:ind/>
        <w:jc w:val="both"/>
        <w:rPr>
          <w:rFonts w:ascii="Arial" w:hAnsi="Arial" w:eastAsia="Calibri" w:cs="Arial"/>
          <w:b/>
          <w:color w:val="000000" w:themeColor="text1"/>
        </w:rPr>
      </w:pPr>
      <w:r>
        <w:rPr>
          <w:rFonts w:ascii="Arial" w:hAnsi="Arial" w:eastAsia="Calibri" w:cs="Arial"/>
          <w:b/>
          <w:color w:val="000000" w:themeColor="text1"/>
        </w:rPr>
        <w:t xml:space="preserve">2.3.</w:t>
      </w:r>
      <w:r>
        <w:rPr>
          <w:rFonts w:ascii="Arial" w:hAnsi="Arial" w:eastAsia="Calibri" w:cs="Arial"/>
          <w:color w:val="000000" w:themeColor="text1"/>
        </w:rPr>
        <w:t xml:space="preserve">The Contracting Parties agree that the sending, receiving, recording, processing and storing of invoices issued u</w:t>
      </w:r>
      <w:r>
        <w:rPr>
          <w:rFonts w:ascii="Arial" w:hAnsi="Arial" w:eastAsia="Calibri" w:cs="Arial"/>
          <w:color w:val="000000" w:themeColor="text1"/>
        </w:rPr>
        <w:t xml:space="preserve">nder this Agreement (including its Annexes) will be carried out in electronic form, via the electronic invoice system (SEF), established by the Law on Electronic Invoicing. This obligation does not exist if the same is not obliged to send invoices via SEF.</w:t>
      </w:r>
      <w:r>
        <w:rPr>
          <w:rFonts w:ascii="Arial" w:hAnsi="Arial" w:eastAsia="Calibri" w:cs="Arial"/>
          <w:b/>
          <w:color w:val="000000" w:themeColor="text1"/>
        </w:rPr>
        <w:t xml:space="preserve"> [Note: delete if the Contractor is not a SEF user].</w:t>
      </w:r>
      <w:r>
        <w:rPr>
          <w:rFonts w:ascii="Arial" w:hAnsi="Arial" w:eastAsia="Calibri" w:cs="Arial"/>
          <w:b/>
          <w:color w:val="000000" w:themeColor="text1"/>
        </w:rPr>
      </w:r>
    </w:p>
    <w:p>
      <w:pPr>
        <w:pBdr/>
        <w:spacing w:after="120" w:before="120" w:line="240" w:lineRule="auto"/>
        <w:ind/>
        <w:jc w:val="both"/>
        <w:rPr>
          <w:rFonts w:ascii="Arial" w:hAnsi="Arial" w:eastAsia="Calibri" w:cs="Arial"/>
          <w:b/>
          <w:color w:val="000000" w:themeColor="text1"/>
        </w:rPr>
      </w:pPr>
      <w:r>
        <w:rPr>
          <w:rFonts w:ascii="Arial" w:hAnsi="Arial" w:eastAsia="Calibri" w:cs="Arial"/>
          <w:b/>
          <w:color w:val="000000" w:themeColor="text1"/>
        </w:rPr>
        <w:t xml:space="preserve">[</w:t>
      </w:r>
      <w:r>
        <w:rPr>
          <w:rFonts w:ascii="Arial" w:hAnsi="Arial" w:eastAsia="Calibri" w:cs="Arial"/>
          <w:b/>
          <w:color w:val="000000" w:themeColor="text1"/>
        </w:rPr>
        <w:t xml:space="preserve">note</w:t>
      </w:r>
      <w:r>
        <w:rPr>
          <w:rFonts w:ascii="Arial" w:hAnsi="Arial" w:eastAsia="Calibri" w:cs="Arial"/>
          <w:b/>
          <w:color w:val="000000" w:themeColor="text1"/>
        </w:rPr>
        <w:t xml:space="preserve"> to the author: alternatively specified paragraph 2.3. - delete the article listed below if the Contractor is a SEF user]</w:t>
      </w:r>
      <w:r>
        <w:rPr>
          <w:rFonts w:ascii="Arial" w:hAnsi="Arial" w:eastAsia="Calibri" w:cs="Arial"/>
          <w:b/>
          <w:color w:val="000000" w:themeColor="text1"/>
        </w:rPr>
      </w:r>
    </w:p>
    <w:p>
      <w:pPr>
        <w:pBdr/>
        <w:spacing w:after="120" w:before="120" w:line="240" w:lineRule="auto"/>
        <w:ind/>
        <w:jc w:val="both"/>
        <w:rPr>
          <w:rFonts w:ascii="Arial" w:hAnsi="Arial" w:eastAsia="Calibri" w:cs="Arial"/>
          <w:color w:val="000000" w:themeColor="text1"/>
        </w:rPr>
      </w:pPr>
      <w:r>
        <w:rPr>
          <w:rFonts w:ascii="Arial" w:hAnsi="Arial" w:eastAsia="Calibri" w:cs="Arial"/>
          <w:b/>
          <w:color w:val="000000" w:themeColor="text1"/>
        </w:rPr>
        <w:t xml:space="preserve">2.3.</w:t>
      </w:r>
      <w:r>
        <w:rPr>
          <w:rFonts w:ascii="Arial" w:hAnsi="Arial" w:eastAsia="Calibri" w:cs="Arial"/>
          <w:color w:val="000000" w:themeColor="text1"/>
        </w:rPr>
        <w:t xml:space="preserve"> The Contractor shall send the invoice by registere</w:t>
      </w:r>
      <w:r>
        <w:rPr>
          <w:rFonts w:ascii="Arial" w:hAnsi="Arial" w:eastAsia="Calibri" w:cs="Arial"/>
          <w:color w:val="000000" w:themeColor="text1"/>
        </w:rPr>
        <w:t xml:space="preserve">d mail with return receipt, or deliver it directly/personally to the Client at the address specified in point 15.4, provided that the receipt of the invoice shall be carried out in the Client's Registry Office with a record of the date and time of receipt.</w:t>
      </w:r>
      <w:permEnd w:id="1523022955"/>
      <w:r/>
      <w:r>
        <w:rPr>
          <w:rFonts w:ascii="Arial" w:hAnsi="Arial" w:eastAsia="Calibri" w:cs="Arial"/>
          <w:color w:val="000000" w:themeColor="text1"/>
        </w:rPr>
      </w:r>
    </w:p>
    <w:p>
      <w:pPr>
        <w:pBdr/>
        <w:spacing w:after="120" w:before="120" w:line="240" w:lineRule="auto"/>
        <w:ind/>
        <w:jc w:val="both"/>
        <w:rPr>
          <w:rFonts w:ascii="Arial" w:hAnsi="Arial" w:eastAsia="Calibri" w:cs="Arial"/>
        </w:rPr>
      </w:pPr>
      <w:r>
        <w:rPr>
          <w:rFonts w:ascii="Arial" w:hAnsi="Arial" w:eastAsia="Calibri" w:cs="Arial"/>
          <w:color w:val="000000" w:themeColor="text1"/>
        </w:rPr>
        <w:t xml:space="preserve">All payments shall be made </w:t>
      </w:r>
      <w:permStart w:edGrp="everyone" w:id="683949027"/>
      <w:r>
        <w:rPr>
          <w:rFonts w:ascii="Arial" w:hAnsi="Arial" w:eastAsia="Calibri" w:cs="Arial"/>
          <w:color w:val="000000" w:themeColor="text1"/>
        </w:rPr>
        <w:t xml:space="preserve">in</w:t>
      </w:r>
      <w:r>
        <w:rPr>
          <w:rFonts w:ascii="Arial" w:hAnsi="Arial" w:eastAsia="Calibri" w:cs="Arial"/>
          <w:color w:val="000000" w:themeColor="text1"/>
        </w:rPr>
        <w:t xml:space="preserve"> </w:t>
      </w:r>
      <w:r>
        <w:rPr>
          <w:rFonts w:ascii="Arial" w:hAnsi="Arial" w:eastAsia="Calibri" w:cs="Arial"/>
        </w:rPr>
        <w:t xml:space="preserve">RSD/EUR </w:t>
      </w:r>
      <w:r>
        <w:rPr>
          <w:rFonts w:ascii="Arial" w:hAnsi="Arial" w:eastAsia="Calibri" w:cs="Arial"/>
          <w:i/>
        </w:rPr>
        <w:t xml:space="preserve">[</w:t>
      </w:r>
      <w:r>
        <w:rPr>
          <w:rFonts w:ascii="Arial" w:hAnsi="Arial" w:cs="Arial"/>
          <w:b/>
          <w:i/>
        </w:rPr>
        <w:t xml:space="preserve">note to the author: specify the currency – if the EUR currency is agreed, it is mandatory to consult with the Finance Department]</w:t>
      </w:r>
      <w:r>
        <w:rPr>
          <w:rFonts w:ascii="Arial" w:hAnsi="Arial" w:eastAsia="Calibri" w:cs="Arial"/>
          <w:i/>
        </w:rPr>
        <w:t xml:space="preserve">. </w:t>
      </w:r>
      <w:r>
        <w:rPr>
          <w:rFonts w:ascii="Arial" w:hAnsi="Arial" w:eastAsia="Calibri" w:cs="Arial"/>
        </w:rPr>
        <w:t xml:space="preserve">In the event that the price is denominated in a foreign currency, the invoicing and payment </w:t>
      </w:r>
      <w:r>
        <w:rPr>
          <w:rFonts w:ascii="Arial" w:hAnsi="Arial" w:eastAsia="Calibri" w:cs="Arial"/>
        </w:rPr>
        <w:t xml:space="preserve">shall be made</w:t>
      </w:r>
      <w:r>
        <w:rPr>
          <w:rFonts w:ascii="Arial" w:hAnsi="Arial" w:eastAsia="Calibri" w:cs="Arial"/>
        </w:rPr>
        <w:t xml:space="preserve"> in RSD counter value at the middle exchange rate of the National Bank of Serbia, valid on the date of issuing </w:t>
      </w:r>
      <w:permEnd w:id="683949027"/>
      <w:r>
        <w:rPr>
          <w:rFonts w:ascii="Arial" w:hAnsi="Arial" w:eastAsia="Calibri" w:cs="Arial"/>
        </w:rPr>
        <w:t xml:space="preserve">the invoice. </w:t>
      </w:r>
      <w:permStart w:edGrp="everyone" w:id="905187089"/>
      <w:r>
        <w:rPr>
          <w:rFonts w:ascii="Arial" w:hAnsi="Arial" w:eastAsia="Calibri" w:cs="Arial"/>
          <w:b/>
          <w:i/>
        </w:rPr>
        <w:t xml:space="preserve">[</w:t>
      </w:r>
      <w:r>
        <w:rPr>
          <w:rFonts w:ascii="Arial" w:hAnsi="Arial" w:eastAsia="Calibri" w:cs="Arial"/>
          <w:b/>
          <w:i/>
        </w:rPr>
        <w:t xml:space="preserve">note</w:t>
      </w:r>
      <w:r>
        <w:rPr>
          <w:rFonts w:ascii="Arial" w:hAnsi="Arial" w:eastAsia="Calibri" w:cs="Arial"/>
          <w:b/>
          <w:i/>
        </w:rPr>
        <w:t xml:space="preserve"> to the author: if the Contractor is not a resident of the Republic of Serbia, the payment shall be made in a foreign currency, and if the Contractor is a resident of the Republic of Serbia, the payment shall be made exclusively in RSD]</w:t>
      </w:r>
      <w:r>
        <w:rPr>
          <w:rFonts w:ascii="Arial" w:hAnsi="Arial" w:eastAsia="Calibri" w:cs="Arial"/>
        </w:rPr>
      </w:r>
    </w:p>
    <w:p>
      <w:pPr>
        <w:pStyle w:val="1017"/>
        <w:pBdr/>
        <w:spacing w:after="120" w:before="120" w:line="240" w:lineRule="auto"/>
        <w:ind/>
        <w:jc w:val="both"/>
        <w:rPr/>
      </w:pPr>
      <w:r>
        <w:rPr>
          <w:b/>
        </w:rPr>
        <w:t xml:space="preserve">2.4.</w:t>
      </w:r>
      <w:r>
        <w:t xml:space="preserve"> The agreed price includes all taxes, fees, and charges that </w:t>
      </w:r>
      <w:r>
        <w:t xml:space="preserve">may be imposed</w:t>
      </w:r>
      <w:r>
        <w:t xml:space="preserve"> in the Republic of Serbia and outside the Republic of Serbia, except for the VAT of the Republic of Serbia, which will be calculated in accordance with the Law on VAT of the Republic of Serbia.</w:t>
      </w:r>
      <w:r/>
    </w:p>
    <w:p>
      <w:pPr>
        <w:pStyle w:val="1017"/>
        <w:pBdr/>
        <w:spacing w:after="120" w:before="120" w:line="240" w:lineRule="auto"/>
        <w:ind/>
        <w:jc w:val="both"/>
        <w:rPr/>
      </w:pPr>
      <w:r>
        <w:t xml:space="preserve">Prior to the first payment, the Contractor shall deliver to the Client an annual certificate of residence, certified by the competent authorities in ____________ on the prescribed form of the Republic of </w:t>
      </w:r>
      <w:r>
        <w:t xml:space="preserve">Serbia or a certified translation of the certificate on the form prescribed by the competent authority in ________________.</w:t>
      </w:r>
      <w:r/>
    </w:p>
    <w:p>
      <w:pPr>
        <w:pStyle w:val="1020"/>
        <w:widowControl w:val="false"/>
        <w:pBdr/>
        <w:spacing w:after="0" w:line="240" w:lineRule="auto"/>
        <w:ind/>
        <w:jc w:val="both"/>
        <w:rPr>
          <w:highlight w:val="none"/>
        </w:rPr>
      </w:pPr>
      <w:r>
        <w:rPr>
          <w:highlight w:val="none"/>
        </w:rPr>
        <w:t xml:space="preserve">[Note to the author: refers only to the Contrac</w:t>
      </w:r>
      <w:r>
        <w:rPr>
          <w:highlight w:val="none"/>
        </w:rPr>
        <w:t xml:space="preserve">tors who are non-residents and if the subject involves the services that are taxable by withholding tax, and if there is an agreement on the avoidance of double taxation of the Republic of Serbia with the country where the Contractor has its headquarters.]</w:t>
      </w:r>
      <w:permEnd w:id="905187089"/>
      <w:r/>
      <w:r>
        <w:rPr>
          <w:highlight w:val="none"/>
        </w:rPr>
      </w:r>
    </w:p>
    <w:p>
      <w:pPr>
        <w:pBdr/>
        <w:spacing w:after="120" w:before="120" w:line="240" w:lineRule="auto"/>
        <w:ind/>
        <w:jc w:val="both"/>
        <w:rPr>
          <w:rFonts w:ascii="Arial" w:hAnsi="Arial" w:eastAsia="Calibri" w:cs="Arial"/>
          <w:color w:val="000000" w:themeColor="text1"/>
        </w:rPr>
      </w:pPr>
      <w:r>
        <w:rPr>
          <w:rFonts w:ascii="Arial" w:hAnsi="Arial" w:eastAsia="Calibri" w:cs="Arial"/>
          <w:color w:val="000000" w:themeColor="text1"/>
        </w:rPr>
      </w:r>
      <w:r>
        <w:rPr>
          <w:rFonts w:ascii="Arial" w:hAnsi="Arial" w:eastAsia="Calibri" w:cs="Arial"/>
          <w:color w:val="000000" w:themeColor="text1"/>
        </w:rPr>
      </w:r>
    </w:p>
    <w:p>
      <w:pPr>
        <w:pStyle w:val="1016"/>
        <w:pBdr/>
        <w:spacing w:after="120" w:before="120" w:line="240" w:lineRule="auto"/>
        <w:ind/>
        <w:jc w:val="center"/>
        <w:rPr/>
      </w:pPr>
      <w:r>
        <w:t xml:space="preserve">3.</w:t>
      </w:r>
      <w:r>
        <w:tab/>
        <w:t xml:space="preserve">PLACE, DEADLINE FOR PROVISION OF SERVICES, AND RECORD ON THE PERFORMED SERVICES</w:t>
      </w:r>
      <w:r/>
    </w:p>
    <w:p>
      <w:pPr>
        <w:pStyle w:val="1018"/>
        <w:pBdr/>
        <w:spacing w:after="120" w:before="120" w:line="240" w:lineRule="auto"/>
        <w:ind/>
        <w:jc w:val="both"/>
        <w:rPr/>
      </w:pPr>
      <w:r>
        <w:rPr>
          <w:b/>
        </w:rPr>
        <w:t xml:space="preserve">3.1.</w:t>
      </w:r>
      <w:r>
        <w:tab/>
        <w:t xml:space="preserve">The agreed Services shall be deemed completed after the</w:t>
      </w:r>
      <w:r>
        <w:t xml:space="preserve"> qualitative and quantitative acceptance of the Services provided has been completed by the Client's authorised person, which is to be confirmed in Appendix 2, to be signed by the authorised person of the Client and the authorised person of the Contractor.</w:t>
      </w:r>
      <w:r/>
    </w:p>
    <w:p>
      <w:pPr>
        <w:pStyle w:val="1018"/>
        <w:pBdr/>
        <w:spacing w:after="120" w:before="120" w:line="240" w:lineRule="auto"/>
        <w:ind/>
        <w:jc w:val="both"/>
        <w:rPr/>
      </w:pPr>
      <w:r>
        <w:t xml:space="preserve">The person who signs Appendix 2 on behalf of the Contractor shall be considered an authorised representative of the Contractor. </w:t>
      </w:r>
      <w:r/>
    </w:p>
    <w:p>
      <w:pPr>
        <w:pStyle w:val="1018"/>
        <w:pBdr/>
        <w:spacing w:after="120" w:before="120" w:line="240" w:lineRule="auto"/>
        <w:ind/>
        <w:jc w:val="both"/>
        <w:rPr/>
      </w:pPr>
      <w:r>
        <w:rPr>
          <w:b/>
        </w:rPr>
        <w:t xml:space="preserve">3.2.</w:t>
      </w:r>
      <w:r>
        <w:tab/>
        <w:t xml:space="preserve">If there are defects or objections during the handover of the Services, the authorised person of t</w:t>
      </w:r>
      <w:r>
        <w:t xml:space="preserve">he Client shall prepare and submit to the Contractor a Complaint, specifying, inter alia, all identified defects, as well as other data relevant for the assessment of the factual situation, specifying the deadline for the remedy of the identified defects. </w:t>
      </w:r>
      <w:r/>
    </w:p>
    <w:p>
      <w:pPr>
        <w:pStyle w:val="1018"/>
        <w:pBdr/>
        <w:spacing w:after="120" w:before="120" w:line="240" w:lineRule="auto"/>
        <w:ind/>
        <w:jc w:val="both"/>
        <w:rPr/>
      </w:pPr>
      <w:r>
        <w:t xml:space="preserve">In the event that the Contractor fails to remedy the defects in the manner and within the period specified in the complaint, the Client shall be e</w:t>
      </w:r>
      <w:r>
        <w:t xml:space="preserve">ntitled to unilaterally terminate the Agreement or to entrust the remedy of defects to another Contractor, at the Contractor's expense, who shall be obliged to compensate the Client for the damage suffered on the basis of non-compliance with the complaint.</w:t>
      </w:r>
      <w:r/>
    </w:p>
    <w:p>
      <w:pPr>
        <w:pBdr/>
        <w:spacing w:after="120" w:before="120" w:line="240" w:lineRule="auto"/>
        <w:ind/>
        <w:jc w:val="both"/>
        <w:rPr>
          <w:rFonts w:ascii="Arial" w:hAnsi="Arial" w:eastAsia="Calibri" w:cs="Arial"/>
          <w:color w:val="000000" w:themeColor="text1"/>
        </w:rPr>
      </w:pPr>
      <w:r>
        <w:rPr>
          <w:rFonts w:ascii="Arial" w:hAnsi="Arial" w:eastAsia="Calibri" w:cs="Arial"/>
          <w:color w:val="000000" w:themeColor="text1"/>
        </w:rPr>
      </w:r>
      <w:r>
        <w:rPr>
          <w:rFonts w:ascii="Arial" w:hAnsi="Arial" w:eastAsia="Calibri" w:cs="Arial"/>
          <w:color w:val="000000" w:themeColor="text1"/>
        </w:rPr>
      </w:r>
    </w:p>
    <w:p>
      <w:pPr>
        <w:pStyle w:val="1016"/>
        <w:pBdr/>
        <w:spacing w:after="120" w:before="120" w:line="240" w:lineRule="auto"/>
        <w:ind w:hanging="709" w:left="709"/>
        <w:jc w:val="center"/>
        <w:rPr/>
      </w:pPr>
      <w:r>
        <w:t xml:space="preserve">4.</w:t>
      </w:r>
      <w:r>
        <w:tab/>
        <w:t xml:space="preserve">CONTRACTOR'S RIGHTS, OBLIGATIONS, AND RESPONSIBILITIES</w:t>
      </w:r>
      <w:r/>
    </w:p>
    <w:p>
      <w:pPr>
        <w:pStyle w:val="1018"/>
        <w:pBdr/>
        <w:spacing w:after="120" w:before="120" w:line="240" w:lineRule="auto"/>
        <w:ind/>
        <w:jc w:val="both"/>
        <w:rPr/>
      </w:pPr>
      <w:r>
        <w:rPr>
          <w:b/>
        </w:rPr>
        <w:t xml:space="preserve">4.1.</w:t>
      </w:r>
      <w:r>
        <w:tab/>
        <w:t xml:space="preserve">The Contractor shall provide a warranty for the performed Services and installed parts, spare equipment, and the like, with the warranty period specified in Appendix 1.</w:t>
      </w:r>
      <w:r/>
    </w:p>
    <w:p>
      <w:pPr>
        <w:pStyle w:val="1018"/>
        <w:pBdr/>
        <w:spacing w:after="120" w:before="120" w:line="240" w:lineRule="auto"/>
        <w:ind/>
        <w:jc w:val="both"/>
        <w:rPr/>
      </w:pPr>
      <w:r>
        <w:t xml:space="preserve">The warranty periods referred to in the previous paragraph start from the day of receipt of the Services, in accordance with item 3.1. of this Agreement.</w:t>
      </w:r>
      <w:r/>
    </w:p>
    <w:p>
      <w:pPr>
        <w:pStyle w:val="1018"/>
        <w:pBdr/>
        <w:spacing w:after="120" w:before="120" w:line="240" w:lineRule="auto"/>
        <w:ind/>
        <w:jc w:val="both"/>
        <w:rPr/>
      </w:pPr>
      <w:r>
        <w:rPr>
          <w:b/>
        </w:rPr>
        <w:t xml:space="preserve">4.2.</w:t>
      </w:r>
      <w:r>
        <w:tab/>
        <w:t xml:space="preserve">The Contractor is obliged, at its own expense, to eliminate all defects</w:t>
      </w:r>
      <w:r>
        <w:t xml:space="preserve"> that occur during the warranty period, if the defect is not the result of force majeure or negligent and/or unprofessional use by the persons employed by the Client, as well as to eliminate hidden defects that could not be identified during the handover. </w:t>
      </w:r>
      <w:r/>
    </w:p>
    <w:p>
      <w:pPr>
        <w:pStyle w:val="1018"/>
        <w:pBdr/>
        <w:spacing w:after="120" w:before="120" w:line="240" w:lineRule="auto"/>
        <w:ind/>
        <w:jc w:val="both"/>
        <w:rPr/>
      </w:pPr>
      <w:r>
        <w:rPr>
          <w:b/>
        </w:rPr>
        <w:t xml:space="preserve">4.3.</w:t>
      </w:r>
      <w:r>
        <w:tab/>
        <w:t xml:space="preserve">The Contractor undertakes to remedy the defects within the period specified by the Client in the Complaint.</w:t>
      </w:r>
      <w:r/>
    </w:p>
    <w:p>
      <w:pPr>
        <w:pStyle w:val="1018"/>
        <w:pBdr/>
        <w:spacing w:after="120" w:before="120" w:line="240" w:lineRule="auto"/>
        <w:ind/>
        <w:jc w:val="both"/>
        <w:rPr/>
      </w:pPr>
      <w:r>
        <w:t xml:space="preserve">If the Contractor fails to proceed with the remedy of the defects </w:t>
      </w:r>
      <w:r>
        <w:t xml:space="preserve">or fails to remedy the defects within the specified period, the Client shall be entitled to entrust the remedy of the defects to a third party, at the Contractor's expense, with the right to compensation for the damage suffered by the Client on this basis.</w:t>
      </w:r>
      <w:r/>
    </w:p>
    <w:p>
      <w:pPr>
        <w:pStyle w:val="1018"/>
        <w:pBdr/>
        <w:spacing w:after="120" w:before="120" w:line="240" w:lineRule="auto"/>
        <w:ind/>
        <w:jc w:val="both"/>
        <w:rPr/>
      </w:pPr>
      <w:r>
        <w:rPr>
          <w:b/>
        </w:rPr>
        <w:t xml:space="preserve">4.4.</w:t>
      </w:r>
      <w:r>
        <w:rPr>
          <w:b/>
        </w:rPr>
        <w:tab/>
      </w:r>
      <w:r>
        <w:t xml:space="preserve">The warranty period for the provided services, specified in Appendix 1, starts again, counting from the date of the remedy of the defect, in accordance with item 4.2. of this Agreement. </w:t>
      </w:r>
      <w:r/>
    </w:p>
    <w:p>
      <w:pPr>
        <w:pStyle w:val="1018"/>
        <w:pBdr/>
        <w:spacing w:after="120" w:before="120" w:line="240" w:lineRule="auto"/>
        <w:ind/>
        <w:jc w:val="both"/>
        <w:rPr/>
      </w:pPr>
      <w:r>
        <w:rPr>
          <w:b/>
        </w:rPr>
        <w:t xml:space="preserve">4.5.</w:t>
      </w:r>
      <w:r>
        <w:tab/>
        <w:t xml:space="preserve">The duration of the warranty for the provided services, in the case when, based on the applicable regulations, standards, and technical sp</w:t>
      </w:r>
      <w:r>
        <w:t xml:space="preserve">ecifications specified in Appendix 1, the services can be used, provided that the compliance document has been issued for these services (declaration of conformity, test report, certificate, control certificate, or other document confirming the conformity </w:t>
      </w:r>
      <w:r>
        <w:t xml:space="preserve">of the services with the prescribed requirements), begins from the day when the compliance document has been issued.</w:t>
      </w:r>
      <w:r/>
    </w:p>
    <w:p>
      <w:pPr>
        <w:pStyle w:val="1018"/>
        <w:pBdr/>
        <w:spacing w:after="120" w:before="120" w:line="240" w:lineRule="auto"/>
        <w:ind/>
        <w:jc w:val="both"/>
        <w:rPr/>
      </w:pPr>
      <w:r>
        <w:rPr>
          <w:b/>
        </w:rPr>
        <w:t xml:space="preserve">4.6.</w:t>
      </w:r>
      <w:r>
        <w:tab/>
        <w:t xml:space="preserve">The Contractor</w:t>
      </w:r>
      <w:r>
        <w:t xml:space="preserve"> shall be liable for all damage suffered by the Client as a result of the defects in the services provided, whether the services were provided directly by the Contractor or by a subcontractor engaged by the Contractor. The Contractor shall also provide the</w:t>
      </w:r>
      <w:r>
        <w:t xml:space="preserve"> Client with protection against disturbances caused by third parties, if they completely or partially prevent the Client from using the services in accordance with their intended purpose and shall indemnify the Client for all the damage incurred therefrom.</w:t>
      </w:r>
      <w:r/>
    </w:p>
    <w:p>
      <w:pPr>
        <w:pStyle w:val="1018"/>
        <w:pBdr/>
        <w:spacing w:after="120" w:before="120" w:line="240" w:lineRule="auto"/>
        <w:ind/>
        <w:jc w:val="both"/>
        <w:rPr/>
      </w:pPr>
      <w:r>
        <w:rPr>
          <w:b/>
        </w:rPr>
        <w:t xml:space="preserve">4.7. </w:t>
      </w:r>
      <w:r>
        <w:t xml:space="preserve">In the event of hiring a subcontractor, t</w:t>
      </w:r>
      <w:r>
        <w:t xml:space="preserve">he Contractor must conclude a contract with the engaged subcontractor. This contract shall contain a clear and precise description of the works to be performed by the subcontractor in the performance of this Agreement between the Client and the Contractor.</w:t>
      </w:r>
      <w:r/>
    </w:p>
    <w:p>
      <w:pPr>
        <w:pStyle w:val="1017"/>
        <w:pBdr/>
        <w:spacing w:after="120" w:before="120" w:line="240" w:lineRule="auto"/>
        <w:ind/>
        <w:jc w:val="both"/>
        <w:rPr/>
      </w:pPr>
      <w:r>
        <w:rPr>
          <w:b/>
        </w:rPr>
        <w:t xml:space="preserve">4.8.</w:t>
      </w:r>
      <w:r>
        <w:tab/>
        <w:t xml:space="preserve">If the Contractor performs the services or part of the services at the locations of the Client, all persons perfo</w:t>
      </w:r>
      <w:r>
        <w:t xml:space="preserve">rming works on behalf and for the account of the Contractor and/or on behalf and for the account of any third party referred to in item 4.7. of this Agreement must be insured, at the expense of the Contractor, for all injuries at work or accidents at work.</w:t>
      </w:r>
      <w:r/>
    </w:p>
    <w:p>
      <w:pPr>
        <w:pStyle w:val="1017"/>
        <w:pBdr/>
        <w:spacing w:after="120" w:before="120" w:line="240" w:lineRule="auto"/>
        <w:ind/>
        <w:jc w:val="both"/>
        <w:rPr/>
      </w:pPr>
      <w:r>
        <w:rPr>
          <w:b/>
        </w:rPr>
        <w:t xml:space="preserve">4.9.</w:t>
      </w:r>
      <w:r>
        <w:tab/>
        <w:t xml:space="preserve">If a natural person per</w:t>
      </w:r>
      <w:r>
        <w:t xml:space="preserve">forming the works on behalf and for the account of the Contractor and/or the Subcontractor performs the services in question independently – using the information resources of the Client, that person shall fully comply with the Law on Information Security.</w:t>
      </w:r>
      <w:r/>
    </w:p>
    <w:p>
      <w:pPr>
        <w:pStyle w:val="1017"/>
        <w:pBdr/>
        <w:spacing w:after="120" w:before="120" w:line="240" w:lineRule="auto"/>
        <w:ind/>
        <w:jc w:val="both"/>
        <w:rPr>
          <w:strike/>
        </w:rPr>
      </w:pPr>
      <w:r>
        <w:t xml:space="preserve">In the event of non-compliance with the Law on Information Security by the Contractor or the subcontractor engaged by the Contractor, the Client shall have the right to terminate this Agreement.</w:t>
      </w:r>
      <w:r>
        <w:rPr>
          <w:strike/>
        </w:rPr>
      </w:r>
    </w:p>
    <w:p>
      <w:pPr>
        <w:pStyle w:val="1017"/>
        <w:pBdr/>
        <w:spacing w:after="120" w:before="120" w:line="240" w:lineRule="auto"/>
        <w:ind/>
        <w:jc w:val="both"/>
        <w:rPr/>
      </w:pPr>
      <w:r>
        <w:rPr>
          <w:b/>
        </w:rPr>
        <w:t xml:space="preserve">4.10.</w:t>
      </w:r>
      <w:r>
        <w:tab/>
        <w:t xml:space="preserve">If the Contractor performs the service on the equipment owned by the Client, outside the Client's premises, Appendix 1 determines the obligation and cost o</w:t>
      </w:r>
      <w:r>
        <w:t xml:space="preserve">f transporting the equipment to the business premises or to the authorised service centre. In this case, the risk of destruction or damage to the equipment from the moment of its leaving the business premises of the Client shall be borne by the Contractor.</w:t>
      </w:r>
      <w:r/>
    </w:p>
    <w:p>
      <w:pPr>
        <w:pStyle w:val="1017"/>
        <w:pBdr/>
        <w:spacing w:after="120" w:before="120" w:line="240" w:lineRule="auto"/>
        <w:ind/>
        <w:jc w:val="both"/>
        <w:rPr/>
      </w:pPr>
      <w:r>
        <w:rPr>
          <w:b/>
        </w:rPr>
        <w:t xml:space="preserve">4.11.</w:t>
      </w:r>
      <w:r>
        <w:tab/>
        <w:t xml:space="preserve">Appendix 1 determines the manner of performance of the Services, i.e. whether there is a</w:t>
      </w:r>
      <w:r>
        <w:t xml:space="preserve"> possibility of providing the Services by personal/direct adjustment and remedy of defects, or "remote access", or by the Contractor providing appropriate instructions, consultations, etc. by telephone or by e-mail to the authorised persons of the Client. </w:t>
      </w:r>
      <w:bookmarkStart w:id="2" w:name="_Toc304893549"/>
      <w:r/>
      <w:bookmarkStart w:id="3" w:name="_Toc305675065"/>
      <w:r/>
      <w:r/>
    </w:p>
    <w:p>
      <w:pPr>
        <w:pBdr/>
        <w:spacing w:after="120" w:before="120" w:line="240" w:lineRule="auto"/>
        <w:ind/>
        <w:jc w:val="both"/>
        <w:rPr>
          <w:rFonts w:ascii="Arial" w:hAnsi="Arial" w:eastAsia="Calibri" w:cs="Arial"/>
        </w:rPr>
      </w:pPr>
      <w:r>
        <w:rPr>
          <w:rFonts w:ascii="Arial" w:hAnsi="Arial" w:eastAsia="Times New Roman" w:cs="Arial"/>
          <w:b/>
        </w:rPr>
        <w:t xml:space="preserve">4.12.</w:t>
      </w:r>
      <w:r>
        <w:rPr>
          <w:rFonts w:ascii="Arial" w:hAnsi="Arial" w:eastAsia="Times New Roman" w:cs="Arial"/>
          <w:b/>
        </w:rPr>
        <w:tab/>
        <w:t xml:space="preserve">Information </w:t>
      </w:r>
      <w:bookmarkEnd w:id="2"/>
      <w:r/>
      <w:bookmarkEnd w:id="3"/>
      <w:r>
        <w:rPr>
          <w:rFonts w:ascii="Arial" w:hAnsi="Arial" w:eastAsia="Times New Roman" w:cs="Arial"/>
          <w:b/>
        </w:rPr>
        <w:t xml:space="preserve">Security </w:t>
      </w:r>
      <w:r>
        <w:rPr>
          <w:rFonts w:ascii="Arial" w:hAnsi="Arial" w:eastAsia="Calibri" w:cs="Arial"/>
        </w:rPr>
        <w:t xml:space="preserve">– during the provision of services that are more closely regulated by this Agreement, the Contractor shall be able to provide remote support from computers that are not in the Client's network, with prior notification a</w:t>
      </w:r>
      <w:r>
        <w:rPr>
          <w:rFonts w:ascii="Arial" w:hAnsi="Arial" w:eastAsia="Calibri" w:cs="Arial"/>
        </w:rPr>
        <w:t xml:space="preserve">nd agreement with the Client. In this case, upon the conclusion of the confidentiality agreement, on a document signed by an authorised person of the Contractor, the Contractor shall submit a list of employees who will perform the activities in order to fu</w:t>
      </w:r>
      <w:r>
        <w:rPr>
          <w:rFonts w:ascii="Arial" w:hAnsi="Arial" w:eastAsia="Calibri" w:cs="Arial"/>
        </w:rPr>
        <w:t xml:space="preserve">lfil the provisions of this Agreement, for the purpose of creating user accounts for remote access and enabling access rights. If the Contractor has engaged a subcontractor for the purpose of fulfilling this Agreement, it is necessary that the subcontracto</w:t>
      </w:r>
      <w:r>
        <w:rPr>
          <w:rFonts w:ascii="Arial" w:hAnsi="Arial" w:eastAsia="Calibri" w:cs="Arial"/>
        </w:rPr>
        <w:t xml:space="preserve">r concludes a confidentiality agreement with the Client prior to the submission of the said document by the subcontractor, which will regulate the rights, obligations, and responsibilities regarding confidentiality more closely. Upon submission of the list</w:t>
      </w:r>
      <w:r>
        <w:rPr>
          <w:rFonts w:ascii="Arial" w:hAnsi="Arial" w:eastAsia="Calibri" w:cs="Arial"/>
        </w:rPr>
        <w:t xml:space="preserve"> of authorised persons for whom access rights need to be enabled, the Client reserves the discretionary right to decide which authorised persons will be granted access rights to the Client's ICT system, taking into account the importance of the ICT system.</w:t>
      </w:r>
      <w:r>
        <w:rPr>
          <w:rFonts w:ascii="Arial" w:hAnsi="Arial" w:eastAsia="Calibri" w:cs="Arial"/>
        </w:rPr>
      </w:r>
    </w:p>
    <w:p>
      <w:pPr>
        <w:pStyle w:val="1017"/>
        <w:pBdr/>
        <w:spacing w:after="120" w:before="120" w:line="240" w:lineRule="auto"/>
        <w:ind/>
        <w:jc w:val="both"/>
        <w:rPr/>
      </w:pPr>
      <w:r>
        <w:t xml:space="preserve">For the purposes of creating user accounts, i.e. providing the right of access to the Client,</w:t>
      </w:r>
      <w:r>
        <w:t xml:space="preserve"> it is necessary to submit the following personal data of authorised persons: name and surname, name of a parent, document number (ID card or passport – depending on whether it is a domestic or foreign citizen). The Client will create personalised user acc</w:t>
      </w:r>
      <w:r>
        <w:t xml:space="preserve">ounts, i.e. provide access rights for this purpose with a validity period of no longer than one year, with the possibility of extension, provided that the validity period of access rights cannot exceed the validity period of the confidentiality agreement. </w:t>
      </w:r>
      <w:r/>
    </w:p>
    <w:p>
      <w:pPr>
        <w:pStyle w:val="1017"/>
        <w:pBdr/>
        <w:spacing w:after="120" w:before="120" w:line="240" w:lineRule="auto"/>
        <w:ind/>
        <w:jc w:val="both"/>
        <w:rPr/>
      </w:pPr>
      <w:r>
        <w:t xml:space="preserve">The Parties agree to exchange personal data only for the purpose of implementing this Agreement and to process it in accordance with the provisions of applicable law governing the protection of personal data.</w:t>
      </w:r>
      <w:r/>
    </w:p>
    <w:p>
      <w:pPr>
        <w:pStyle w:val="1017"/>
        <w:pBdr/>
        <w:spacing w:after="120" w:before="120" w:line="240" w:lineRule="auto"/>
        <w:ind/>
        <w:jc w:val="both"/>
        <w:rPr>
          <w:strike/>
          <w:color w:val="ff0000"/>
        </w:rPr>
      </w:pPr>
      <w:r>
        <w:t xml:space="preserve">All activities of authorised persons shall be recorded on the resources of the Client, and the Contractor/Subcontractor shall be obliged to inform their employees about the said recording of activities. </w:t>
      </w:r>
      <w:r>
        <w:rPr>
          <w:strike/>
          <w:color w:val="ff0000"/>
        </w:rPr>
      </w:r>
    </w:p>
    <w:p>
      <w:pPr>
        <w:pStyle w:val="1017"/>
        <w:pBdr/>
        <w:spacing w:after="120" w:before="120" w:line="240" w:lineRule="auto"/>
        <w:ind/>
        <w:jc w:val="both"/>
        <w:rPr/>
      </w:pPr>
      <w:r>
        <w:t xml:space="preserve">In case the business need for a user account/access of authorised persons ceases, it is necessary for the</w:t>
      </w:r>
      <w:r>
        <w:t xml:space="preserve"> Contractor/Subcontractor to promptly, and no later than within 48 hours, notify the Client in writing (including notifying in electronic form), in order for the Client to prevent further use of the user account, i.e. to cancel the previously given rights.</w:t>
      </w:r>
      <w:r/>
    </w:p>
    <w:p>
      <w:pPr>
        <w:pStyle w:val="1017"/>
        <w:pBdr/>
        <w:spacing w:after="120" w:before="120" w:line="240" w:lineRule="auto"/>
        <w:ind/>
        <w:jc w:val="both"/>
        <w:rPr/>
      </w:pPr>
      <w:r>
        <w:t xml:space="preserve">The Contractor/Subcontractor undertakes to inform the authorised persons that the credentials for access to the Client's ICT system (username and password) are a business secret and must not be assigned to other persons.</w:t>
      </w:r>
      <w:r/>
    </w:p>
    <w:p>
      <w:pPr>
        <w:pStyle w:val="1017"/>
        <w:pBdr/>
        <w:spacing w:after="120" w:before="120" w:line="240" w:lineRule="auto"/>
        <w:ind/>
        <w:jc w:val="both"/>
        <w:rPr/>
      </w:pPr>
      <w:r>
        <w:t xml:space="preserve">If the Contractor/Subcontractor maintains information assets in the ICT system</w:t>
      </w:r>
      <w:r>
        <w:t xml:space="preserve">, it is obliged, in addition to keeping up with the best practices and in agreement with the Client's Responsible Person, to propose protection measures and improve information security for information assets within the competence of the Client/Contractor.</w:t>
      </w:r>
      <w:r/>
    </w:p>
    <w:p>
      <w:pPr>
        <w:pStyle w:val="1017"/>
        <w:pBdr/>
        <w:spacing w:after="120" w:before="120" w:line="240" w:lineRule="auto"/>
        <w:ind/>
        <w:jc w:val="both"/>
        <w:rPr/>
      </w:pPr>
      <w:r>
        <w:t xml:space="preserve">Taking into account the fact that the Client's ICT system is of specia</w:t>
      </w:r>
      <w:r>
        <w:t xml:space="preserve">l importance for the Republic of Serbia, the Contractor/Subcontractor is obliged to act in accordance with the provisions of the legal regulations governing the matter of information security, and in particular according to the Law on Information Security.</w:t>
      </w:r>
      <w:r/>
    </w:p>
    <w:p>
      <w:pPr>
        <w:pStyle w:val="1017"/>
        <w:pBdr/>
        <w:spacing w:after="120" w:before="120" w:line="240" w:lineRule="auto"/>
        <w:ind/>
        <w:jc w:val="both"/>
        <w:rPr/>
      </w:pPr>
      <w:r>
        <w:t xml:space="preserve">The Client's authorised persons have the right to check compliance with the legal regulations at any time, in particular referring to the provisions of the Law </w:t>
      </w:r>
      <w:r>
        <w:t xml:space="preserve">on Information Security, regardless of the location where the authorised persons of the Contractor/Subcontractor are located. In this case, the Contractor/Subcontractor shall provide all information requested by the authorised person/persons of the Client.</w:t>
      </w:r>
      <w:r/>
    </w:p>
    <w:p>
      <w:pPr>
        <w:pStyle w:val="1017"/>
        <w:pBdr/>
        <w:spacing w:after="120" w:before="120" w:line="240" w:lineRule="auto"/>
        <w:ind/>
        <w:jc w:val="both"/>
        <w:rPr/>
      </w:pPr>
      <w:r>
        <w:t xml:space="preserve">In the event that during the ch</w:t>
      </w:r>
      <w:r>
        <w:t xml:space="preserve">eck described in the previous paragraph of this Article of the Agreement, it is determined that there is a violation of the legal regulations of Law on Information Security by the authorised persons of the Contractor/Subcontractor, the Client has the right</w:t>
      </w:r>
      <w:r>
        <w:t xml:space="preserve"> to request their temporary or permanent removal from the location of the Client, taking over all equipment or documentation related to the Client that has been delivered to the authorised persons and cancelling all access rights to the Client's resources.</w:t>
      </w:r>
      <w:r/>
    </w:p>
    <w:p>
      <w:pPr>
        <w:pStyle w:val="1017"/>
        <w:pBdr/>
        <w:spacing w:after="120" w:before="120" w:line="240" w:lineRule="auto"/>
        <w:ind/>
        <w:jc w:val="both"/>
        <w:rPr/>
      </w:pPr>
      <w:r>
        <w:t xml:space="preserve">Measures for information security and data protection are defined in more detail in the Technical Assignment (Appendix 3), which forms an integral part of this Agreement.</w:t>
      </w:r>
      <w:r/>
    </w:p>
    <w:p>
      <w:pPr>
        <w:pBdr/>
        <w:spacing w:after="0" w:line="240" w:lineRule="auto"/>
        <w:ind/>
        <w:jc w:val="both"/>
        <w:rPr/>
      </w:pPr>
      <w:r/>
      <w:permStart w:edGrp="everyone" w:id="1960182716"/>
      <w:r>
        <w:rPr>
          <w:rFonts w:ascii="Arial" w:hAnsi="Arial" w:eastAsia="Calibri" w:cs="Arial"/>
          <w:b/>
        </w:rPr>
        <w:t xml:space="preserve">4.13.</w:t>
      </w:r>
      <w:r>
        <w:rPr>
          <w:rFonts w:ascii="Arial" w:hAnsi="Arial" w:eastAsia="Calibri" w:cs="Arial"/>
        </w:rPr>
        <w:tab/>
      </w:r>
      <w:r>
        <w:rPr>
          <w:rFonts w:ascii="Arial" w:hAnsi="Arial" w:cs="Arial"/>
        </w:rPr>
        <w:t xml:space="preserve">The Parties acknowledge that at the time of signing this Agreement, </w:t>
      </w:r>
      <w:r>
        <w:rPr>
          <w:rFonts w:ascii="Arial" w:hAnsi="Arial" w:cs="Arial"/>
        </w:rPr>
        <w:t xml:space="preserve">in order to fully regulate</w:t>
      </w:r>
      <w:r>
        <w:rPr>
          <w:rFonts w:ascii="Arial" w:hAnsi="Arial" w:cs="Arial"/>
        </w:rPr>
        <w:t xml:space="preserve"> mutual rights and obligations regarding the disclosure and protection of trade secrets/proprietary business, they signed Confidentiality Agreement no.__________ dated _____________, which is an integral part of this Agreement.</w:t>
      </w:r>
      <w:r>
        <w:t xml:space="preserve"> </w:t>
      </w:r>
      <w:r/>
    </w:p>
    <w:p>
      <w:pPr>
        <w:pBdr/>
        <w:spacing w:after="0" w:line="240" w:lineRule="auto"/>
        <w:ind/>
        <w:jc w:val="both"/>
        <w:rPr/>
      </w:pPr>
      <w:r/>
      <w:r/>
    </w:p>
    <w:p>
      <w:pPr>
        <w:pStyle w:val="1021"/>
        <w:pBdr/>
        <w:spacing w:after="0" w:line="240" w:lineRule="auto"/>
        <w:ind/>
        <w:jc w:val="both"/>
        <w:rPr/>
      </w:pPr>
      <w:r>
        <w:t xml:space="preserve">The Parties jointly acknowledge</w:t>
      </w:r>
      <w:r>
        <w:t xml:space="preserve"> that in order to fully govern their mutual relations in relation to personal data processing activities, they have concluded a separate Joint Controllers Agreement/Personal Data Processing Agreement/Data Transfer Agreement between independent controllers </w:t>
      </w:r>
      <w:r>
        <w:rPr>
          <w:b/>
        </w:rPr>
        <w:t xml:space="preserve">[</w:t>
      </w:r>
      <w:r>
        <w:rPr>
          <w:b/>
          <w:i/>
        </w:rPr>
        <w:t xml:space="preserve">note to the author:</w:t>
      </w:r>
      <w:r>
        <w:rPr>
          <w:b/>
        </w:rPr>
        <w:t xml:space="preserve"> depending on the role of the Parties in specific data processing, choose a joint controllers agreement or personal data processing agreement or data transfer agreement between independent controllers]</w:t>
      </w:r>
      <w:r>
        <w:t xml:space="preserve">, which is registered with the Client under the number ___________ of __________.</w:t>
      </w:r>
      <w:r/>
    </w:p>
    <w:p>
      <w:pPr>
        <w:pStyle w:val="1022"/>
        <w:pBdr/>
        <w:spacing w:after="0" w:line="240" w:lineRule="auto"/>
        <w:ind/>
        <w:jc w:val="both"/>
        <w:rPr/>
      </w:pPr>
      <w:r>
        <w:t xml:space="preserve">[</w:t>
      </w:r>
      <w:r>
        <w:t xml:space="preserve">note</w:t>
      </w:r>
      <w:r>
        <w:t xml:space="preserve"> to the author: delete the paragraph if it is not applicable to the specific contractual and legal relationship].</w:t>
      </w:r>
      <w:permEnd w:id="1960182716"/>
      <w:r/>
      <w:r/>
    </w:p>
    <w:p>
      <w:pPr>
        <w:pBdr/>
        <w:spacing w:after="0" w:line="240" w:lineRule="auto"/>
        <w:ind/>
        <w:jc w:val="both"/>
        <w:rPr>
          <w:rFonts w:ascii="Arial" w:hAnsi="Arial" w:cs="Arial"/>
          <w:color w:val="000000" w:themeColor="text1"/>
        </w:rPr>
      </w:pPr>
      <w:r>
        <w:rPr>
          <w:rFonts w:ascii="Arial" w:hAnsi="Arial" w:cs="Arial"/>
          <w:color w:val="000000" w:themeColor="text1"/>
        </w:rPr>
      </w:r>
      <w:r>
        <w:rPr>
          <w:rFonts w:ascii="Arial" w:hAnsi="Arial" w:cs="Arial"/>
          <w:color w:val="000000" w:themeColor="text1"/>
        </w:rPr>
      </w:r>
    </w:p>
    <w:p>
      <w:pPr>
        <w:pStyle w:val="1016"/>
        <w:pBdr/>
        <w:spacing w:after="200" w:line="240" w:lineRule="auto"/>
        <w:ind/>
        <w:jc w:val="center"/>
        <w:rPr/>
      </w:pPr>
      <w:r>
        <w:t xml:space="preserve">5.</w:t>
      </w:r>
      <w:r>
        <w:tab/>
        <w:t xml:space="preserve">CLIENT'S RIGHTS, OBLIGATIONS, AND RESPONSIBILITIES</w:t>
      </w:r>
      <w:r/>
    </w:p>
    <w:p>
      <w:pPr>
        <w:pStyle w:val="1018"/>
        <w:pBdr/>
        <w:spacing w:after="120" w:before="120" w:line="240" w:lineRule="auto"/>
        <w:ind/>
        <w:jc w:val="both"/>
        <w:rPr/>
      </w:pPr>
      <w:r>
        <w:rPr>
          <w:b/>
        </w:rPr>
        <w:t xml:space="preserve">5.1.</w:t>
      </w:r>
      <w:r>
        <w:tab/>
        <w:t xml:space="preserve">The Client is obliged to pay for the performed service at the price, within the deadline, and in the manner defined in Appendix 1.</w:t>
      </w:r>
      <w:r/>
    </w:p>
    <w:p>
      <w:pPr>
        <w:pStyle w:val="1018"/>
        <w:pBdr/>
        <w:spacing w:after="120" w:before="120" w:line="240" w:lineRule="auto"/>
        <w:ind/>
        <w:jc w:val="both"/>
        <w:rPr>
          <w:b/>
        </w:rPr>
      </w:pPr>
      <w:r>
        <w:rPr>
          <w:b/>
        </w:rPr>
        <w:t xml:space="preserve">5.2.</w:t>
      </w:r>
      <w:r>
        <w:tab/>
        <w:t xml:space="preserve">The Client is obliged to enable the </w:t>
      </w:r>
      <w:r>
        <w:t xml:space="preserve">Contractor's employees to enter the Client's facility unhindered, bringing in the equipment, materials, and tools necessary for the performance of services in accordance with the Client's standards governing the entry and exit from the Client's facilities.</w:t>
      </w:r>
      <w:r>
        <w:rPr>
          <w:b/>
        </w:rPr>
      </w:r>
    </w:p>
    <w:p>
      <w:pPr>
        <w:pStyle w:val="1018"/>
        <w:pBdr/>
        <w:spacing w:after="120" w:before="120" w:line="240" w:lineRule="auto"/>
        <w:ind/>
        <w:jc w:val="both"/>
        <w:rPr/>
      </w:pPr>
      <w:r>
        <w:rPr>
          <w:b/>
        </w:rPr>
        <w:t xml:space="preserve">5.3.</w:t>
      </w:r>
      <w:r>
        <w:tab/>
        <w:t xml:space="preserve">If the provision of services depends on the Client's prior submission of documentation and/or material and/or on the fulfilment of other Clie</w:t>
      </w:r>
      <w:r>
        <w:t xml:space="preserve">nt's obligations set out in Appendix 1, the deadlines for the provision of the said services shall start after the recorded handover of documentation, material and/or fulfilment of other Client's obligations, in accordance with item 3.1. of this Agreement.</w:t>
      </w:r>
      <w:r/>
    </w:p>
    <w:p>
      <w:pPr>
        <w:pStyle w:val="1018"/>
        <w:pBdr/>
        <w:spacing w:after="120" w:before="120" w:line="240" w:lineRule="auto"/>
        <w:ind/>
        <w:jc w:val="both"/>
        <w:rPr/>
      </w:pPr>
      <w:r>
        <w:rPr>
          <w:b/>
        </w:rPr>
        <w:t xml:space="preserve">5.4.</w:t>
      </w:r>
      <w:r>
        <w:tab/>
        <w:t xml:space="preserve">The Client has the right to supervise the execu</w:t>
      </w:r>
      <w:r>
        <w:t xml:space="preserve">tion of services in order to check and ensure their full and proper execution, especially with regard to the type, quantity and quality of materials and equipment, tools and workforce of the Contractor, deadlines and other conditions set out in Appendix 1.</w:t>
      </w:r>
      <w:r/>
    </w:p>
    <w:p>
      <w:pPr>
        <w:pStyle w:val="1018"/>
        <w:pBdr/>
        <w:spacing w:after="120" w:before="120" w:line="240" w:lineRule="auto"/>
        <w:ind/>
        <w:jc w:val="both"/>
        <w:rPr/>
      </w:pPr>
      <w:r>
        <w:rPr>
          <w:b/>
        </w:rPr>
        <w:t xml:space="preserve">5.5</w:t>
      </w:r>
      <w:r>
        <w:tab/>
        <w:t xml:space="preserve">The Client shall appoint a person to supervise the provision of services and shall notify the Contractor thereof in writing.</w:t>
      </w:r>
      <w:r/>
    </w:p>
    <w:p>
      <w:pPr>
        <w:pStyle w:val="1018"/>
        <w:pBdr/>
        <w:spacing w:after="120" w:before="120" w:line="240" w:lineRule="auto"/>
        <w:ind/>
        <w:jc w:val="both"/>
        <w:rPr/>
      </w:pPr>
      <w:r>
        <w:rPr>
          <w:b/>
        </w:rPr>
        <w:t xml:space="preserve">5.6.</w:t>
      </w:r>
      <w:r>
        <w:tab/>
        <w:t xml:space="preserve">The supervisor shall not be entitled to relieve the Contractor of any of their duties or obligations under the Agreement unless they receive special written authorisation from the Client's authorised person.</w:t>
      </w:r>
      <w:r/>
    </w:p>
    <w:p>
      <w:pPr>
        <w:pStyle w:val="1018"/>
        <w:pBdr/>
        <w:spacing w:after="120" w:before="120" w:line="240" w:lineRule="auto"/>
        <w:ind/>
        <w:jc w:val="both"/>
        <w:rPr/>
      </w:pPr>
      <w:r>
        <w:rPr>
          <w:b/>
        </w:rPr>
        <w:t xml:space="preserve">5.7.</w:t>
      </w:r>
      <w:r>
        <w:tab/>
        <w:t xml:space="preserve">If the supervisor or another authorised person of the Client determines that the Contractor fails to comply with the terms of this Agreement or Appendix 1 a</w:t>
      </w:r>
      <w:r>
        <w:t xml:space="preserve">nd fails to perform the contractual obligations in accordance with the Agreement, and that the service in question will be inconsistent, the supervisor shall immediately inform the authorised person of the Client thereof, who may bring it to the attention </w:t>
      </w:r>
      <w:r>
        <w:t xml:space="preserve">of the Contractor and set an appropriate deadline to bring its work to compliance with the terms of the Agreement. If the Contractor fails to comply with the Client's request within such a deadline, the Client may terminate the Agreement and claim damages.</w:t>
      </w:r>
      <w:r>
        <w:tab/>
      </w:r>
      <w:r/>
    </w:p>
    <w:p>
      <w:pPr>
        <w:pStyle w:val="1018"/>
        <w:pBdr/>
        <w:spacing w:after="120" w:before="120" w:line="240" w:lineRule="auto"/>
        <w:ind/>
        <w:jc w:val="both"/>
        <w:rPr/>
      </w:pPr>
      <w:r>
        <w:rPr>
          <w:b/>
        </w:rPr>
        <w:t xml:space="preserve">5.8</w:t>
      </w:r>
      <w:r>
        <w:tab/>
        <w:t xml:space="preserve">The mere existence of a person in charge of</w:t>
      </w:r>
      <w:r>
        <w:t xml:space="preserve"> supervision and/or his/her potential oversight during the supervision shall not relieve the Contractor of its obligations and responsibilities for the provision of the agreed services in full compliance with the provisions of the Agreement and Appendix 1.</w:t>
      </w:r>
      <w:r/>
    </w:p>
    <w:p>
      <w:pPr>
        <w:pStyle w:val="1018"/>
        <w:pBdr/>
        <w:spacing w:after="120" w:before="120" w:line="240" w:lineRule="auto"/>
        <w:ind/>
        <w:jc w:val="both"/>
        <w:rPr/>
      </w:pPr>
      <w:r>
        <w:rPr>
          <w:b/>
        </w:rPr>
        <w:t xml:space="preserve">5.9.</w:t>
      </w:r>
      <w:r>
        <w:tab/>
        <w:t xml:space="preserve">Any potential liability of the Cl</w:t>
      </w:r>
      <w:r>
        <w:t xml:space="preserve">ient for the compensation of damage caused by non-performance, improper and/or partial performance of the obligations under this Agreement shall be limited to the amount of 10% of the total value of the services, determined by the provisions of Appendix 1.</w:t>
      </w:r>
      <w:r/>
    </w:p>
    <w:p>
      <w:pPr>
        <w:pBdr/>
        <w:spacing w:after="120" w:before="120" w:line="240" w:lineRule="auto"/>
        <w:ind/>
        <w:jc w:val="both"/>
        <w:rPr>
          <w:rFonts w:ascii="Arial" w:hAnsi="Arial" w:eastAsia="Calibri" w:cs="Arial"/>
          <w:color w:val="000000" w:themeColor="text1"/>
        </w:rPr>
      </w:pPr>
      <w:r>
        <w:rPr>
          <w:rFonts w:ascii="Arial" w:hAnsi="Arial" w:eastAsia="Calibri" w:cs="Arial"/>
          <w:color w:val="000000" w:themeColor="text1"/>
        </w:rPr>
      </w:r>
      <w:r>
        <w:rPr>
          <w:rFonts w:ascii="Arial" w:hAnsi="Arial" w:eastAsia="Calibri" w:cs="Arial"/>
          <w:color w:val="000000" w:themeColor="text1"/>
        </w:rPr>
      </w:r>
    </w:p>
    <w:p>
      <w:pPr>
        <w:pStyle w:val="1016"/>
        <w:pBdr/>
        <w:spacing w:after="120" w:before="120" w:line="240" w:lineRule="auto"/>
        <w:ind/>
        <w:jc w:val="center"/>
        <w:rPr/>
      </w:pPr>
      <w:r>
        <w:t xml:space="preserve">6.</w:t>
      </w:r>
      <w:r>
        <w:tab/>
        <w:t xml:space="preserve">PERFORMANCE BOND AND </w:t>
      </w:r>
      <w:permStart w:edGrp="everyone" w:id="1590525695"/>
      <w:r>
        <w:t xml:space="preserve">BANK GUARANTEE FOR THE ADVANCE PAYMENT</w:t>
      </w:r>
      <w:r/>
    </w:p>
    <w:p>
      <w:pPr>
        <w:pBdr/>
        <w:spacing w:after="120" w:before="120" w:line="240" w:lineRule="auto"/>
        <w:ind/>
        <w:jc w:val="both"/>
        <w:rPr>
          <w:rFonts w:ascii="Arial" w:hAnsi="Arial" w:eastAsia="Calibri" w:cs="Arial"/>
          <w:b/>
          <w:i/>
          <w:color w:val="000000" w:themeColor="text1"/>
        </w:rPr>
      </w:pPr>
      <w:r>
        <w:rPr>
          <w:rFonts w:ascii="Arial" w:hAnsi="Arial" w:eastAsia="Calibri" w:cs="Arial"/>
          <w:b/>
          <w:i/>
          <w:color w:val="000000" w:themeColor="text1"/>
        </w:rPr>
        <w:t xml:space="preserve">[Note to the author: alternatively specified paragraph 6.1. - select one option, delete the other]:</w:t>
      </w:r>
      <w:r>
        <w:rPr>
          <w:rFonts w:ascii="Arial" w:hAnsi="Arial" w:eastAsia="Calibri" w:cs="Arial"/>
          <w:b/>
          <w:i/>
          <w:color w:val="000000" w:themeColor="text1"/>
        </w:rPr>
      </w:r>
    </w:p>
    <w:p>
      <w:pPr>
        <w:pBdr/>
        <w:spacing w:after="120" w:before="120" w:line="240" w:lineRule="auto"/>
        <w:ind/>
        <w:jc w:val="both"/>
        <w:rPr>
          <w:rFonts w:ascii="Arial" w:hAnsi="Arial" w:eastAsia="Calibri" w:cs="Arial"/>
        </w:rPr>
      </w:pPr>
      <w:r>
        <w:rPr>
          <w:rFonts w:ascii="Arial" w:hAnsi="Arial" w:eastAsia="Calibri" w:cs="Arial"/>
          <w:b/>
          <w:color w:val="000000" w:themeColor="text1"/>
        </w:rPr>
        <w:t xml:space="preserve">6.1.</w:t>
      </w:r>
      <w:r>
        <w:rPr>
          <w:rFonts w:ascii="Arial" w:hAnsi="Arial" w:eastAsia="Calibri" w:cs="Arial"/>
          <w:color w:val="000000" w:themeColor="text1"/>
        </w:rPr>
        <w:tab/>
      </w:r>
      <w:r>
        <w:rPr>
          <w:rFonts w:ascii="Arial" w:hAnsi="Arial" w:eastAsia="Calibri" w:cs="Arial"/>
        </w:rPr>
        <w:t xml:space="preserve">Within 7 working days from the conclusion of the Agreement, in the name of ensuring the proper and</w:t>
      </w:r>
      <w:r>
        <w:rPr>
          <w:rFonts w:ascii="Arial" w:hAnsi="Arial" w:eastAsia="Calibri" w:cs="Arial"/>
        </w:rPr>
        <w:t xml:space="preserve"> quality performance of all contractual obligations and obligations during the warranty period, the Contractor undertakes to submit to the Client a bank guarantee of a first-class commercial bank accepted by the Client, which is unconditional, irrevocable </w:t>
      </w:r>
      <w:r>
        <w:rPr>
          <w:rFonts w:ascii="Arial" w:hAnsi="Arial" w:eastAsia="Calibri" w:cs="Arial"/>
        </w:rPr>
        <w:t xml:space="preserve">and payable at the first written request, in the form and with the content acceptable to the Client, with the validity period specified in Appendix 1, which is determined in the currency of the Agreement and is 10 % of the Agreed Price with calculated VAT </w:t>
      </w:r>
      <w:r>
        <w:rPr>
          <w:rFonts w:ascii="Arial" w:hAnsi="Arial" w:cs="Arial"/>
          <w:b/>
          <w:i/>
        </w:rPr>
        <w:t xml:space="preserve">[note to the author: delete the VAT part in the event that the Contractor is not a resident of the Republic of Serbia]</w:t>
      </w:r>
      <w:r>
        <w:rPr>
          <w:rFonts w:ascii="Arial" w:hAnsi="Arial" w:eastAsia="Calibri" w:cs="Arial"/>
        </w:rPr>
        <w:t xml:space="preserve">.</w:t>
      </w:r>
      <w:r>
        <w:rPr>
          <w:rFonts w:ascii="Arial" w:hAnsi="Arial" w:eastAsia="Calibri" w:cs="Arial"/>
        </w:rPr>
      </w:r>
    </w:p>
    <w:p>
      <w:pPr>
        <w:pBdr/>
        <w:spacing w:after="120" w:before="120" w:line="240" w:lineRule="auto"/>
        <w:ind/>
        <w:jc w:val="both"/>
        <w:rPr>
          <w:rFonts w:ascii="Arial" w:hAnsi="Arial" w:eastAsia="Calibri" w:cs="Arial"/>
        </w:rPr>
      </w:pPr>
      <w:r>
        <w:rPr>
          <w:rFonts w:ascii="Arial" w:hAnsi="Arial" w:eastAsia="Calibri" w:cs="Arial"/>
          <w:b/>
          <w:color w:val="000000" w:themeColor="text1"/>
        </w:rPr>
        <w:t xml:space="preserve">6.1.</w:t>
      </w:r>
      <w:r>
        <w:rPr>
          <w:rFonts w:ascii="Arial" w:hAnsi="Arial" w:eastAsia="Calibri" w:cs="Arial"/>
          <w:color w:val="000000" w:themeColor="text1"/>
        </w:rPr>
        <w:tab/>
      </w:r>
      <w:r>
        <w:rPr>
          <w:rFonts w:ascii="Arial" w:hAnsi="Arial" w:eastAsia="Calibri" w:cs="Arial"/>
        </w:rPr>
        <w:t xml:space="preserve">Within 7 working days from the conclusion of the Agreement, in the name of ensuring the proper and quality performance of all contractual obligations and obligations during the warranty </w:t>
      </w:r>
      <w:r>
        <w:rPr>
          <w:rFonts w:ascii="Arial" w:hAnsi="Arial" w:eastAsia="Calibri" w:cs="Arial"/>
        </w:rPr>
        <w:t xml:space="preserve">period, the Contractor undertakes to </w:t>
      </w:r>
      <w:r>
        <w:rPr>
          <w:rFonts w:ascii="Arial" w:hAnsi="Arial" w:eastAsia="Calibri" w:cs="Arial"/>
        </w:rPr>
        <w:t xml:space="preserve">submit to the Client a blank own bill of exchange without protest and a bill of exchange authorization for completion and collection, signed by the Contractor's legal representative,  in the amount of 10% of the total value of the Agreement including VAT, </w:t>
      </w:r>
      <w:r>
        <w:rPr>
          <w:rFonts w:ascii="Arial" w:hAnsi="Arial" w:cs="Arial"/>
          <w:b/>
          <w:i/>
        </w:rPr>
        <w:t xml:space="preserve">[note to the author: delete the VAT part in the event that the Contractor is not a resident of the Republic of Serbia]</w:t>
      </w:r>
      <w:r>
        <w:rPr>
          <w:rFonts w:ascii="Arial" w:hAnsi="Arial" w:eastAsia="Calibri" w:cs="Arial"/>
        </w:rPr>
        <w:t xml:space="preserve">.with a validity period at least thirty (30) calendar days longer than the expiration of the warranty period for the completed Services, unless otherwise specified in Appendix No. 1.</w:t>
      </w:r>
      <w:r>
        <w:rPr>
          <w:rFonts w:ascii="Arial" w:hAnsi="Arial" w:eastAsia="Calibri" w:cs="Arial"/>
        </w:rPr>
        <w:t xml:space="preserve"> In addition to the above, the Contractor is obliged to submit a copy of the Contract</w:t>
      </w:r>
      <w:r>
        <w:rPr>
          <w:rFonts w:ascii="Arial" w:hAnsi="Arial" w:eastAsia="Calibri" w:cs="Arial"/>
        </w:rPr>
        <w:t xml:space="preserve">or 's specimen signature card stamped by the bank, as well as a confirmation that the bill of exchange is registered with the National Bank of Serbia, i.e. that the bill of exchange registration request is stamped by the Contractor and its commercial bank.</w:t>
      </w:r>
      <w:r>
        <w:rPr>
          <w:rFonts w:ascii="Arial" w:hAnsi="Arial" w:eastAsia="Calibri" w:cs="Arial"/>
        </w:rPr>
      </w:r>
    </w:p>
    <w:p>
      <w:pPr>
        <w:pStyle w:val="1017"/>
        <w:pBdr/>
        <w:spacing w:after="120" w:before="120" w:line="240" w:lineRule="auto"/>
        <w:ind/>
        <w:jc w:val="both"/>
        <w:rPr/>
      </w:pPr>
      <w:r>
        <w:t xml:space="preserve">The Client is authorised, in any case of non-performance and/or untimely performance and/or partial non-performance and/or poor performance of obligations, to submit the security instrument for collection.</w:t>
      </w:r>
      <w:r/>
    </w:p>
    <w:p>
      <w:pPr>
        <w:pStyle w:val="1017"/>
        <w:pBdr/>
        <w:spacing w:after="120" w:before="120" w:line="240" w:lineRule="auto"/>
        <w:ind/>
        <w:jc w:val="both"/>
        <w:rPr/>
      </w:pPr>
      <w:r>
        <w:t xml:space="preserve">If the security instrument is collected, and the Agreement is not terminated, the Contractor undertakes to submit to the Client, under the same conditions and in the same manner as in this item 6.1., a new security instrum</w:t>
      </w:r>
      <w:r>
        <w:t xml:space="preserve">ent, for the amount referred to in item 6.1., with the deadline for the submission of a new security instrument being 7 working days from the date when the Client submitted to the Contractor the notice on the collection of the previous security instrument.</w:t>
      </w:r>
      <w:r>
        <w:t xml:space="preserve"> </w:t>
      </w:r>
      <w:r/>
    </w:p>
    <w:p>
      <w:pPr>
        <w:pStyle w:val="1017"/>
        <w:pBdr/>
        <w:spacing w:after="120" w:before="120" w:line="240" w:lineRule="auto"/>
        <w:ind/>
        <w:jc w:val="both"/>
        <w:rPr/>
      </w:pPr>
      <w:r>
        <w:t xml:space="preserve">If the Contractor fails to submit a security instrument to the Client or fails to submit a new security instrument, the Client shall be entitled to terminate this Agreement, in which case the Client shall be entitled to compensation in the full amount. </w:t>
      </w:r>
      <w:r/>
    </w:p>
    <w:p>
      <w:pPr>
        <w:pStyle w:val="1017"/>
        <w:pBdr/>
        <w:spacing w:after="120" w:before="120" w:line="240" w:lineRule="auto"/>
        <w:ind/>
        <w:jc w:val="both"/>
        <w:rPr/>
      </w:pPr>
      <w:r>
        <w:t xml:space="preserve">The Client is authorised to submit the security instrument for collection no later than the expiration date, and the Client is obliged to return the uncollected security instrument to the Contractor within 7 working days from the expiration date. </w:t>
      </w:r>
      <w:r/>
    </w:p>
    <w:p>
      <w:pPr>
        <w:pStyle w:val="1021"/>
        <w:pBdr/>
        <w:tabs>
          <w:tab w:val="left" w:leader="none" w:pos="0"/>
          <w:tab w:val="left" w:leader="none" w:pos="567"/>
        </w:tabs>
        <w:spacing w:after="0" w:line="240" w:lineRule="auto"/>
        <w:ind/>
        <w:jc w:val="both"/>
        <w:rPr/>
      </w:pPr>
      <w:r>
        <w:rPr>
          <w:b/>
        </w:rPr>
        <w:t xml:space="preserve">6.2.</w:t>
      </w:r>
      <w:r>
        <w:t xml:space="preserve"> The Contractor is obliged, under the threat of termination of this Agreement, in a tim</w:t>
      </w:r>
      <w:r>
        <w:t xml:space="preserve">ely manner after the conclusion of this Agreement, and in any case before the advance payment by the Client, to submit to the Client, as a security guarantee – refund of the advance payment from item 2.1., a bank guarantee that is irrevocable, unconditiona</w:t>
      </w:r>
      <w:r>
        <w:t xml:space="preserve">l and payable on first demand, issued by a bank acceptable to the Client, 100% in the amount of the agreed advance, and with a validity period of at least 30 days longer than the final agreed deadline for the fulfilment of obligations under this Agreement.</w:t>
      </w:r>
      <w:r>
        <w:t xml:space="preserve"> </w:t>
      </w:r>
      <w:r/>
    </w:p>
    <w:p>
      <w:pPr>
        <w:pStyle w:val="1021"/>
        <w:pBdr/>
        <w:tabs>
          <w:tab w:val="left" w:leader="none" w:pos="0"/>
          <w:tab w:val="left" w:leader="none" w:pos="567"/>
        </w:tabs>
        <w:spacing w:after="0" w:line="240" w:lineRule="auto"/>
        <w:ind/>
        <w:jc w:val="both"/>
        <w:rPr/>
      </w:pPr>
      <w:r>
        <w:t xml:space="preserve">The </w:t>
      </w:r>
      <w:r>
        <w:t xml:space="preserve">form and content of the bank guarantee must be previously approved by the Client</w:t>
      </w:r>
      <w:r>
        <w:t xml:space="preserve">. </w:t>
      </w:r>
      <w:r>
        <w:br/>
      </w:r>
      <w:r>
        <w:t xml:space="preserve">In the event that the Contractor fails to perform the Service to the Client within the deadline and in the manner regulated by th</w:t>
      </w:r>
      <w:r>
        <w:t xml:space="preserve">e Contract, the Client shall submit a bank guarantee for collection and the Contractor shall pay to the Client the default interest calculated from the date of advance payment to the Contractor until the date of return of the advance invoice to the Client.</w:t>
      </w:r>
      <w:r/>
    </w:p>
    <w:p>
      <w:pPr>
        <w:pStyle w:val="1021"/>
        <w:pBdr/>
        <w:tabs>
          <w:tab w:val="left" w:leader="none" w:pos="0"/>
          <w:tab w:val="left" w:leader="none" w:pos="567"/>
        </w:tabs>
        <w:spacing w:after="0" w:line="240" w:lineRule="auto"/>
        <w:ind/>
        <w:jc w:val="both"/>
        <w:rPr/>
      </w:pPr>
      <w:r>
        <w:t xml:space="preserve">All costs and expenses related to the bank guarantee shall be borne by the Contractor.</w:t>
      </w:r>
      <w:r/>
    </w:p>
    <w:p>
      <w:pPr>
        <w:pStyle w:val="1020"/>
        <w:pBdr/>
        <w:tabs>
          <w:tab w:val="left" w:leader="none" w:pos="0"/>
          <w:tab w:val="left" w:leader="none" w:pos="567"/>
        </w:tabs>
        <w:spacing w:after="0" w:line="240" w:lineRule="auto"/>
        <w:ind/>
        <w:jc w:val="both"/>
        <w:rPr>
          <w:highlight w:val="none"/>
        </w:rPr>
      </w:pPr>
      <w:r>
        <w:rPr>
          <w:highlight w:val="none"/>
        </w:rPr>
        <w:t xml:space="preserve">[</w:t>
      </w:r>
      <w:r>
        <w:rPr>
          <w:highlight w:val="none"/>
        </w:rPr>
        <w:t xml:space="preserve">note</w:t>
      </w:r>
      <w:r>
        <w:rPr>
          <w:highlight w:val="none"/>
        </w:rPr>
        <w:t xml:space="preserve"> to the author: Delete item 6.2. in the event that no advance payment is agreed]</w:t>
      </w:r>
      <w:r>
        <w:rPr>
          <w:highlight w:val="none"/>
        </w:rPr>
      </w:r>
    </w:p>
    <w:p>
      <w:pPr>
        <w:pStyle w:val="1017"/>
        <w:pBdr/>
        <w:spacing w:after="120" w:before="120" w:line="240" w:lineRule="auto"/>
        <w:ind/>
        <w:jc w:val="both"/>
        <w:rPr>
          <w:b/>
          <w:i/>
        </w:rPr>
      </w:pPr>
      <w:r>
        <w:rPr>
          <w:b/>
        </w:rPr>
        <w:t xml:space="preserve">6.3.</w:t>
      </w:r>
      <w:r>
        <w:t xml:space="preserve"> In the event that the agreement </w:t>
      </w:r>
      <w:r>
        <w:t xml:space="preserve">is concluded</w:t>
      </w:r>
      <w:r>
        <w:t xml:space="preserve"> with the Contractor that is a resident of the Republic of Serbia in a foreign currency, the security instrument will be charged in RSD counter value at the middle exchange rate of the NBS on the date of collection of the security instrument. </w:t>
      </w:r>
      <w:r>
        <w:rPr>
          <w:b/>
          <w:i/>
        </w:rPr>
        <w:t xml:space="preserve">[</w:t>
      </w:r>
      <w:r>
        <w:rPr>
          <w:b/>
          <w:i/>
        </w:rPr>
        <w:t xml:space="preserve">note</w:t>
      </w:r>
      <w:r>
        <w:rPr>
          <w:b/>
          <w:i/>
        </w:rPr>
        <w:t xml:space="preserve"> to the author: delete clause 6.3. in the event that the agreement is not concluded in a foreign currency with the resident of the Republic of Serbia]</w:t>
      </w:r>
      <w:r>
        <w:rPr>
          <w:b/>
          <w:i/>
        </w:rPr>
      </w:r>
    </w:p>
    <w:p>
      <w:pPr>
        <w:pStyle w:val="1022"/>
        <w:pBdr/>
        <w:spacing w:after="0" w:line="240" w:lineRule="auto"/>
        <w:ind/>
        <w:jc w:val="both"/>
        <w:rPr/>
      </w:pPr>
      <w:r>
        <w:t xml:space="preserve">[</w:t>
      </w:r>
      <w:r>
        <w:t xml:space="preserve">note</w:t>
      </w:r>
      <w:r>
        <w:t xml:space="preserve"> to the author: delete the paragraph if it is not applicable to the specific contractual and legal relationship].</w:t>
      </w:r>
      <w:permEnd w:id="1590525695"/>
      <w:r/>
    </w:p>
    <w:p>
      <w:pPr>
        <w:pBdr/>
        <w:spacing w:after="120" w:before="120" w:line="240" w:lineRule="auto"/>
        <w:ind/>
        <w:jc w:val="both"/>
        <w:rPr>
          <w:rFonts w:ascii="Arial" w:hAnsi="Arial" w:eastAsia="Calibri" w:cs="Arial"/>
          <w:color w:val="000000" w:themeColor="text1"/>
        </w:rPr>
      </w:pPr>
      <w:r>
        <w:rPr>
          <w:rFonts w:ascii="Arial" w:hAnsi="Arial" w:eastAsia="Calibri" w:cs="Arial"/>
          <w:color w:val="000000" w:themeColor="text1"/>
        </w:rPr>
      </w:r>
      <w:r>
        <w:rPr>
          <w:rFonts w:ascii="Arial" w:hAnsi="Arial" w:eastAsia="Calibri" w:cs="Arial"/>
          <w:color w:val="000000" w:themeColor="text1"/>
        </w:rPr>
      </w:r>
    </w:p>
    <w:p>
      <w:pPr>
        <w:pStyle w:val="1016"/>
        <w:pBdr/>
        <w:spacing w:after="120" w:before="120" w:line="240" w:lineRule="auto"/>
        <w:ind/>
        <w:jc w:val="center"/>
        <w:rPr/>
      </w:pPr>
      <w:r>
        <w:t xml:space="preserve">7.</w:t>
      </w:r>
      <w:r>
        <w:tab/>
        <w:t xml:space="preserve">CONTRACTUAL PENALTY </w:t>
      </w:r>
      <w:r/>
    </w:p>
    <w:p>
      <w:pPr>
        <w:pStyle w:val="1017"/>
        <w:pBdr/>
        <w:spacing w:after="200" w:before="120" w:line="240" w:lineRule="auto"/>
        <w:ind/>
        <w:jc w:val="both"/>
        <w:rPr>
          <w:color w:val="000000" w:themeColor="text1"/>
        </w:rPr>
      </w:pPr>
      <w:r>
        <w:rPr>
          <w:b/>
          <w:color w:val="000000" w:themeColor="text1"/>
        </w:rPr>
        <w:t xml:space="preserve">7.1.</w:t>
      </w:r>
      <w:r>
        <w:rPr>
          <w:color w:val="000000" w:themeColor="text1"/>
        </w:rPr>
        <w:tab/>
        <w:t xml:space="preserve">If the Contractor, through no fault of the Client, fails to provide the agreed services within the deadlines and defined scope and/or with the level of service set out in Appendix 1, the Contractor </w:t>
      </w:r>
      <w:r>
        <w:rPr>
          <w:color w:val="000000" w:themeColor="text1"/>
        </w:rPr>
        <w:t xml:space="preserve">shall be obliged to pay the Client a contractual penalty for delay, in the manner defined in Appendix 1. </w:t>
      </w:r>
      <w:permStart w:edGrp="everyone" w:id="484060406"/>
      <w:r>
        <w:rPr>
          <w:color w:val="000000" w:themeColor="text1"/>
        </w:rPr>
        <w:t xml:space="preserve">The Client shall be entitled to charge a delay penalty in the maximum amount of</w:t>
      </w:r>
      <w:r>
        <w:t xml:space="preserve"> 10%</w:t>
      </w:r>
      <w:r>
        <w:rPr>
          <w:color w:val="000000" w:themeColor="text1"/>
        </w:rPr>
        <w:t xml:space="preserve"> of the total agreed price defined in Appendix 1. </w:t>
      </w:r>
      <w:permEnd w:id="484060406"/>
      <w:r/>
      <w:r>
        <w:rPr>
          <w:color w:val="000000" w:themeColor="text1"/>
        </w:rPr>
      </w:r>
    </w:p>
    <w:p>
      <w:pPr>
        <w:pStyle w:val="1018"/>
        <w:pBdr/>
        <w:spacing/>
        <w:ind/>
        <w:rPr>
          <w:rFonts w:ascii="Times New Roman" w:hAnsi="Times New Roman" w:eastAsia="Times New Roman" w:cs="Times New Roman"/>
          <w:sz w:val="24"/>
        </w:rPr>
      </w:pPr>
      <w:r>
        <w:rPr>
          <w:b/>
        </w:rPr>
        <w:t xml:space="preserve">7.2.</w:t>
      </w:r>
      <w:r>
        <w:tab/>
        <w:t xml:space="preserve">The Client is authorised to collect the contractual penalty, i.e. to offset the amount of the contractual penalty against any other claim that the Contractor has aga</w:t>
      </w:r>
      <w:r>
        <w:t xml:space="preserve">inst the Client, provided that the Client is obliged to inform the Contractor about the collection – offsetting. When receiving the services, the Client is obliged to inform the Contractor without delay that they retain their right to contractual penalty. </w:t>
      </w:r>
      <w:r>
        <w:rPr>
          <w:rFonts w:ascii="Times New Roman" w:hAnsi="Times New Roman" w:eastAsia="Times New Roman" w:cs="Times New Roman"/>
          <w:sz w:val="24"/>
        </w:rPr>
      </w:r>
    </w:p>
    <w:p>
      <w:pPr>
        <w:pStyle w:val="1018"/>
        <w:pBdr/>
        <w:spacing w:after="200" w:before="120" w:line="240" w:lineRule="auto"/>
        <w:ind/>
        <w:jc w:val="both"/>
        <w:rPr/>
      </w:pPr>
      <w:r>
        <w:rPr>
          <w:b/>
        </w:rPr>
        <w:t xml:space="preserve">7.3</w:t>
      </w:r>
      <w:r>
        <w:tab/>
        <w:t xml:space="preserve">Should the Client incur any damage the amount of which exceeds the maximum amount of the contractual penalty referred to in item 7.1. hereof, the Client shall be entitled to the difference up to the full compensation of the damage.</w:t>
      </w:r>
      <w:r/>
    </w:p>
    <w:p>
      <w:pPr>
        <w:pStyle w:val="1018"/>
        <w:pBdr/>
        <w:spacing w:after="200" w:before="120" w:line="240" w:lineRule="auto"/>
        <w:ind/>
        <w:jc w:val="both"/>
        <w:rPr/>
      </w:pPr>
      <w:r>
        <w:t xml:space="preserve">In the case referred to in item 7.1, the Client shal</w:t>
      </w:r>
      <w:r>
        <w:t xml:space="preserve">l have the right to terminate the Agreement and to procure the service from another Contractor, and the Contractor shall be liable to the Client for all the damage suffered as a result of the subsequent procurement of the service from the other Contractor.</w:t>
      </w:r>
      <w:r/>
    </w:p>
    <w:p>
      <w:pPr>
        <w:pBdr/>
        <w:spacing w:after="200" w:before="120" w:line="240" w:lineRule="auto"/>
        <w:ind/>
        <w:rPr>
          <w:rFonts w:ascii="Arial" w:hAnsi="Arial" w:eastAsia="Calibri" w:cs="Arial"/>
          <w:color w:val="000000" w:themeColor="text1"/>
        </w:rPr>
      </w:pPr>
      <w:r>
        <w:rPr>
          <w:rFonts w:ascii="Arial" w:hAnsi="Arial" w:eastAsia="Calibri" w:cs="Arial"/>
          <w:color w:val="000000" w:themeColor="text1"/>
        </w:rPr>
      </w:r>
      <w:r>
        <w:rPr>
          <w:rFonts w:ascii="Arial" w:hAnsi="Arial" w:eastAsia="Calibri" w:cs="Arial"/>
          <w:color w:val="000000" w:themeColor="text1"/>
        </w:rPr>
      </w:r>
    </w:p>
    <w:p>
      <w:pPr>
        <w:pStyle w:val="1016"/>
        <w:pBdr/>
        <w:spacing w:after="200" w:before="120" w:line="240" w:lineRule="auto"/>
        <w:ind/>
        <w:jc w:val="center"/>
        <w:rPr/>
      </w:pPr>
      <w:r>
        <w:t xml:space="preserve">8.</w:t>
      </w:r>
      <w:r>
        <w:tab/>
        <w:t xml:space="preserve">OCCUPATIONAL SAFETY AND HEALTH</w:t>
      </w:r>
      <w:r/>
    </w:p>
    <w:p>
      <w:pPr>
        <w:pStyle w:val="1018"/>
        <w:pBdr/>
        <w:spacing w:after="200" w:before="120" w:line="240" w:lineRule="auto"/>
        <w:ind/>
        <w:jc w:val="both"/>
        <w:rPr/>
      </w:pPr>
      <w:r>
        <w:rPr>
          <w:b/>
        </w:rPr>
        <w:t xml:space="preserve">8.1. </w:t>
      </w:r>
      <w:r>
        <w:rPr>
          <w:b/>
        </w:rPr>
        <w:tab/>
      </w:r>
      <w:r>
        <w:t xml:space="preserve">The Contractor undertakes that the employees of the Contractor and the authorised persons of the Contractor apply all the prescribed measures of occupational safety and health during the </w:t>
      </w:r>
      <w:permStart w:edGrp="everyone" w:id="1289163848"/>
      <w:r>
        <w:t xml:space="preserve">performance</w:t>
      </w:r>
      <w:r>
        <w:t xml:space="preserve"> of the subject of this Agreement with the Client.</w:t>
      </w:r>
      <w:r/>
    </w:p>
    <w:p>
      <w:pPr>
        <w:pBdr/>
        <w:spacing w:after="200" w:before="120" w:line="240" w:lineRule="auto"/>
        <w:ind/>
        <w:jc w:val="both"/>
        <w:rPr>
          <w:rFonts w:ascii="Arial" w:hAnsi="Arial" w:eastAsia="Times New Roman" w:cs="Arial"/>
        </w:rPr>
      </w:pPr>
      <w:r>
        <w:rPr>
          <w:rFonts w:ascii="Arial" w:hAnsi="Arial" w:eastAsia="Calibri" w:cs="Arial"/>
          <w:b/>
        </w:rPr>
        <w:t xml:space="preserve">8.2 </w:t>
      </w:r>
      <w:r>
        <w:rPr>
          <w:rFonts w:ascii="Arial" w:hAnsi="Arial" w:cs="Arial"/>
        </w:rPr>
        <w:t xml:space="preserve">The Parties jointly acknowledge that, by signing the document No.: </w:t>
      </w:r>
      <w:r>
        <w:rPr>
          <w:rFonts w:ascii="Arial" w:hAnsi="Arial" w:cs="Arial"/>
          <w:b/>
          <w:i/>
        </w:rPr>
        <w:t xml:space="preserve">[note to the author: enter the registration number of the HSE Agreement]</w:t>
      </w:r>
      <w:r>
        <w:rPr>
          <w:rFonts w:ascii="Arial" w:hAnsi="Arial" w:cs="Arial"/>
        </w:rPr>
        <w:t xml:space="preserve">, the Contractor</w:t>
      </w:r>
      <w:r>
        <w:rPr>
          <w:rFonts w:ascii="Arial" w:hAnsi="Arial" w:eastAsia="Times New Roman" w:cs="Arial"/>
          <w:b/>
          <w:i/>
        </w:rPr>
        <w:t xml:space="preserve"> </w:t>
      </w:r>
      <w:r>
        <w:rPr>
          <w:rFonts w:ascii="Arial" w:hAnsi="Arial" w:eastAsia="Times New Roman" w:cs="Arial"/>
        </w:rPr>
        <w:t xml:space="preserve">has accepted the provisions of the HSE Agreement.</w:t>
      </w:r>
      <w:r>
        <w:rPr>
          <w:rFonts w:ascii="Arial" w:hAnsi="Arial" w:eastAsia="Times New Roman" w:cs="Arial"/>
        </w:rPr>
      </w:r>
    </w:p>
    <w:p>
      <w:pPr>
        <w:widowControl w:val="false"/>
        <w:pBdr/>
        <w:spacing w:after="120" w:before="120" w:line="240" w:lineRule="auto"/>
        <w:ind/>
        <w:jc w:val="both"/>
        <w:rPr>
          <w:rFonts w:ascii="Arial" w:hAnsi="Arial" w:cs="Arial"/>
        </w:rPr>
      </w:pPr>
      <w:r>
        <w:rPr>
          <w:rFonts w:ascii="Arial" w:hAnsi="Arial" w:eastAsia="Times New Roman" w:cs="Arial"/>
        </w:rPr>
        <w:t xml:space="preserve">In accordance with the Law on Occupational Safety and Health, the person(s) responsible for coordination and control of implementation of the HSE Agreement (HSE Advisor/Associate) on behalf of the Client shall be</w:t>
      </w:r>
      <w:r>
        <w:rPr>
          <w:rFonts w:ascii="Arial" w:hAnsi="Arial" w:eastAsia="Times New Roman" w:cs="Arial"/>
          <w:i/>
        </w:rPr>
        <w:t xml:space="preserve">:</w:t>
      </w:r>
      <w:r>
        <w:rPr>
          <w:rFonts w:ascii="Arial" w:hAnsi="Arial" w:cs="Arial"/>
          <w:b/>
          <w:i/>
        </w:rPr>
        <w:t xml:space="preserve"> [note to the author: enter name and surname; in the event of multiple persons being responsible for HSE, all the names must be entered depending on the locations to which they are assigned]</w:t>
      </w:r>
      <w:r>
        <w:rPr>
          <w:rFonts w:ascii="Arial" w:hAnsi="Arial" w:cs="Arial"/>
        </w:rPr>
      </w:r>
    </w:p>
    <w:p>
      <w:pPr>
        <w:widowControl w:val="false"/>
        <w:pBdr/>
        <w:spacing w:after="120" w:before="120" w:line="240" w:lineRule="auto"/>
        <w:ind/>
        <w:jc w:val="both"/>
        <w:rPr>
          <w:rFonts w:ascii="Arial" w:hAnsi="Arial" w:cs="Arial"/>
        </w:rPr>
      </w:pPr>
      <w:r>
        <w:rPr>
          <w:rFonts w:ascii="Arial" w:hAnsi="Arial" w:eastAsia="Times New Roman" w:cs="Arial"/>
        </w:rPr>
        <w:t xml:space="preserve">The Contractor's Supervisor / Directly Responsible Individual (DRI) who will be in charge of managing, controlling, and implementing all activities outlined in the Agreement on behalf of the Client shall be</w:t>
      </w:r>
      <w:r>
        <w:rPr>
          <w:rFonts w:ascii="Arial" w:hAnsi="Arial" w:eastAsia="Times New Roman" w:cs="Arial"/>
          <w:i/>
        </w:rPr>
        <w:t xml:space="preserve">: </w:t>
      </w:r>
      <w:r>
        <w:rPr>
          <w:rFonts w:ascii="Arial" w:hAnsi="Arial" w:cs="Arial"/>
          <w:b/>
          <w:i/>
        </w:rPr>
        <w:t xml:space="preserve">[note to the author: enter name and surname;</w:t>
      </w:r>
      <w:r>
        <w:rPr>
          <w:rFonts w:ascii="Arial" w:hAnsi="Arial" w:eastAsia="Times New Roman" w:cs="Arial"/>
          <w:b/>
        </w:rPr>
        <w:t xml:space="preserve"> </w:t>
      </w:r>
      <w:r>
        <w:rPr>
          <w:rFonts w:ascii="Arial" w:hAnsi="Arial" w:eastAsia="Times New Roman" w:cs="Arial"/>
          <w:b/>
          <w:i/>
        </w:rPr>
        <w:t xml:space="preserve">in the event of multiple Contractor's Supervisors / Directly Responsible Individuals (DRI) are appointed, all the names must be entered depending on the locations to which they are assigned]</w:t>
      </w:r>
      <w:r>
        <w:rPr>
          <w:rFonts w:ascii="Arial" w:hAnsi="Arial" w:cs="Arial"/>
        </w:rPr>
      </w:r>
    </w:p>
    <w:p>
      <w:pPr>
        <w:pStyle w:val="1023"/>
        <w:widowControl w:val="false"/>
        <w:pBdr/>
        <w:spacing w:after="120" w:before="120" w:line="240" w:lineRule="auto"/>
        <w:ind/>
        <w:jc w:val="both"/>
        <w:rPr/>
      </w:pPr>
      <w:r>
        <w:t xml:space="preserve">If there is any change to the Client's appointed persons as referred to in paragraphs 2 and 3 of this Article during the performance of the agreement, the Client shall inform the Contractor thereof in writing.</w:t>
      </w:r>
      <w:r/>
    </w:p>
    <w:p>
      <w:pPr>
        <w:pBdr/>
        <w:spacing w:after="200" w:before="120" w:line="240" w:lineRule="auto"/>
        <w:ind/>
        <w:jc w:val="both"/>
        <w:rPr>
          <w:rFonts w:ascii="Arial" w:hAnsi="Arial" w:eastAsia="Calibri" w:cs="Arial"/>
          <w:b/>
          <w:i/>
        </w:rPr>
      </w:pPr>
      <w:r>
        <w:rPr>
          <w:rFonts w:ascii="Arial" w:hAnsi="Arial" w:eastAsia="Times New Roman" w:cs="Arial"/>
        </w:rPr>
        <w:t xml:space="preserve">In case that the provisions of the HSE Agreement from this Article are contrary to the provisions of this Agreement, the provisions of the HSE Agreement shall apply.</w:t>
      </w:r>
      <w:r>
        <w:rPr>
          <w:rFonts w:ascii="Arial" w:hAnsi="Arial" w:eastAsia="Calibri" w:cs="Arial"/>
          <w:b/>
          <w:i/>
        </w:rPr>
        <w:t xml:space="preserve"> [</w:t>
      </w:r>
      <w:r>
        <w:rPr>
          <w:rFonts w:ascii="Arial" w:hAnsi="Arial" w:eastAsia="Calibri" w:cs="Arial"/>
          <w:b/>
          <w:i/>
        </w:rPr>
        <w:t xml:space="preserve">note</w:t>
      </w:r>
      <w:r>
        <w:rPr>
          <w:rFonts w:ascii="Arial" w:hAnsi="Arial" w:eastAsia="Calibri" w:cs="Arial"/>
          <w:b/>
          <w:i/>
        </w:rPr>
        <w:t xml:space="preserve"> to the author: If the subject of the contract does not require the application of measures in the field of HSE, as well as the signing of the HSE Agreement, the marked provisions shall be deleted]</w:t>
      </w:r>
      <w:permEnd w:id="1289163848"/>
      <w:r/>
      <w:r>
        <w:rPr>
          <w:rFonts w:ascii="Arial" w:hAnsi="Arial" w:eastAsia="Calibri" w:cs="Arial"/>
          <w:b/>
          <w:i/>
        </w:rPr>
      </w:r>
    </w:p>
    <w:p>
      <w:pPr>
        <w:pBdr/>
        <w:spacing w:after="200" w:before="120" w:line="240" w:lineRule="auto"/>
        <w:ind/>
        <w:jc w:val="both"/>
        <w:rPr>
          <w:rFonts w:ascii="Arial" w:hAnsi="Arial" w:eastAsia="Calibri" w:cs="Arial"/>
          <w:b/>
          <w:i/>
        </w:rPr>
      </w:pPr>
      <w:r>
        <w:rPr>
          <w:rFonts w:ascii="Arial" w:hAnsi="Arial" w:eastAsia="Calibri" w:cs="Arial"/>
          <w:b/>
          <w:i/>
        </w:rPr>
      </w:r>
      <w:r>
        <w:rPr>
          <w:rFonts w:ascii="Arial" w:hAnsi="Arial" w:eastAsia="Calibri" w:cs="Arial"/>
          <w:b/>
          <w:i/>
        </w:rPr>
      </w:r>
    </w:p>
    <w:p>
      <w:pPr>
        <w:pStyle w:val="1016"/>
        <w:pBdr/>
        <w:spacing w:after="200" w:before="120" w:line="240" w:lineRule="auto"/>
        <w:ind/>
        <w:jc w:val="center"/>
        <w:rPr/>
      </w:pPr>
      <w:r>
        <w:t xml:space="preserve">9.</w:t>
      </w:r>
      <w:r>
        <w:tab/>
        <w:t xml:space="preserve">FORCE MAJEURE AND SANCTION CLAUSE</w:t>
      </w:r>
      <w:r/>
    </w:p>
    <w:p>
      <w:pPr>
        <w:pStyle w:val="1018"/>
        <w:pBdr/>
        <w:spacing w:after="200" w:before="120" w:line="240" w:lineRule="auto"/>
        <w:ind/>
        <w:jc w:val="both"/>
        <w:rPr/>
      </w:pPr>
      <w:r/>
      <w:bookmarkStart w:id="4" w:name="_Hlk185337622"/>
      <w:r>
        <w:rPr>
          <w:b/>
        </w:rPr>
        <w:t xml:space="preserve">9.1.</w:t>
      </w:r>
      <w:r>
        <w:tab/>
        <w:t xml:space="preserve">An event of force majeure signifies an event that relieves the Party affected by force majeure, or both Parties if they are both affected by force majeure, from the responsibility to perform all or </w:t>
      </w:r>
      <w:r>
        <w:t xml:space="preserve">some of their contractual obligations and to compensate for a partial or complete failure to meet their contractual obligations – and the performance of obligations which is prevented by an event of force majeure is postponed during its duration. </w:t>
      </w:r>
      <w:r/>
    </w:p>
    <w:p>
      <w:pPr>
        <w:pStyle w:val="1018"/>
        <w:pBdr/>
        <w:spacing w:after="200" w:before="120" w:line="240" w:lineRule="auto"/>
        <w:ind/>
        <w:jc w:val="both"/>
        <w:rPr/>
      </w:pPr>
      <w:r>
        <w:rPr>
          <w:b/>
        </w:rPr>
        <w:t xml:space="preserve">9.2.</w:t>
      </w:r>
      <w:r>
        <w:tab/>
        <w:t xml:space="preserve">An event of force majeure specifically implies the following: fires, floods, earthquakes, wars, mobilization, hostile actions, insurgencies, strikes (provid</w:t>
      </w:r>
      <w:r>
        <w:t xml:space="preserve">ed that the strike did not occur with the party invoking force majeure), sabotage, epidemics, traffic and natural disasters, overhaul activities or major accidents – which result in a longer suspension or interruption of operations of the Parties, as well </w:t>
      </w:r>
      <w:r>
        <w:t xml:space="preserve">as the occurrence of other events that do not depend on the will of one or both Parties, and which fully or partially prevent one or both Parties from performing their obligations, and which could not have been foreseen or avoided by the Party or Parties. </w:t>
      </w:r>
      <w:r/>
    </w:p>
    <w:p>
      <w:pPr>
        <w:pStyle w:val="1018"/>
        <w:pBdr/>
        <w:spacing w:after="200" w:before="120" w:line="240" w:lineRule="auto"/>
        <w:ind/>
        <w:jc w:val="both"/>
        <w:rPr/>
      </w:pPr>
      <w:r>
        <w:rPr>
          <w:b/>
        </w:rPr>
        <w:t xml:space="preserve">9.3.</w:t>
      </w:r>
      <w:r>
        <w:tab/>
        <w:t xml:space="preserve">The Party which cannot perform its contractual obliga</w:t>
      </w:r>
      <w:r>
        <w:t xml:space="preserve">tions due to Force Majeure is obliged to inform the other Party in writing immediately, without delay, of the occurrence of these circumstances and their estimated or expected duration, while submitting evidence of the existence of the force majeure event.</w:t>
      </w:r>
      <w:r/>
    </w:p>
    <w:p>
      <w:pPr>
        <w:pStyle w:val="1018"/>
        <w:pBdr/>
        <w:spacing w:after="200" w:before="120" w:line="240" w:lineRule="auto"/>
        <w:ind/>
        <w:jc w:val="both"/>
        <w:rPr/>
      </w:pPr>
      <w:r>
        <w:rPr>
          <w:b/>
        </w:rPr>
        <w:t xml:space="preserve">9.4.</w:t>
      </w:r>
      <w:r>
        <w:tab/>
        <w:t xml:space="preserve">The </w:t>
      </w:r>
      <w:r>
        <w:t xml:space="preserve">Party affected by force majeure shall undertake all necessary actions to eliminate the consequences that prevent it from fulfilling its contractual obligations and notify the other Party in writing on the duration of the obstacles caused by force majeure w</w:t>
      </w:r>
      <w:r>
        <w:t xml:space="preserve">ith respect to the fulfilment of their contractual obligations, as well as promptly inform the other Party in writing about the cessation of force majeure. This provision shall be applied accordingly if both parties are affected by the force majeure event.</w:t>
      </w:r>
      <w:r/>
    </w:p>
    <w:p>
      <w:pPr>
        <w:pStyle w:val="1018"/>
        <w:pBdr/>
        <w:spacing w:after="200" w:before="120" w:line="240" w:lineRule="auto"/>
        <w:ind/>
        <w:jc w:val="both"/>
        <w:rPr/>
      </w:pPr>
      <w:r>
        <w:rPr>
          <w:b/>
        </w:rPr>
        <w:t xml:space="preserve">9.5.</w:t>
      </w:r>
      <w:r>
        <w:tab/>
        <w:t xml:space="preserve">Ea</w:t>
      </w:r>
      <w:r>
        <w:t xml:space="preserve">ch Party shall bear its own costs and losses for the duration of the force majeure event. If the Client obtains from another contractor the performance of certain contractual obligations of the Contractor, which the Contractor – due to force majeure – coul</w:t>
      </w:r>
      <w:r>
        <w:t xml:space="preserve">d not perform in accordance with the agreed deadline set out in Appendix 1, then the scope of the Contractor's obligations and the total price will be proportionally reduced, and the Client will not be liable to the Contractor for any costs and/or damages.</w:t>
      </w:r>
      <w:r/>
    </w:p>
    <w:p>
      <w:pPr>
        <w:pStyle w:val="1018"/>
        <w:pBdr/>
        <w:spacing w:after="200" w:before="120" w:line="240" w:lineRule="auto"/>
        <w:ind/>
        <w:jc w:val="both"/>
        <w:rPr/>
      </w:pPr>
      <w:r>
        <w:rPr>
          <w:b/>
        </w:rPr>
        <w:t xml:space="preserve">9.6</w:t>
      </w:r>
      <w:r>
        <w:tab/>
        <w:t xml:space="preserve">If the effect of force majeure prevents the Parties from performing their obli</w:t>
      </w:r>
      <w:r>
        <w:t xml:space="preserve">gations or any part of their obligations for a period exceeding 30 (thirty) calendar days, the Parties shall agree on further actions towards the performance of the provisions of the Agreement and conclude an Annex to this Agreement to reflect these facts.</w:t>
      </w:r>
      <w:r/>
    </w:p>
    <w:p>
      <w:pPr>
        <w:pStyle w:val="1018"/>
        <w:pBdr/>
        <w:spacing w:after="200" w:before="120" w:line="240" w:lineRule="auto"/>
        <w:ind/>
        <w:jc w:val="both"/>
        <w:rPr/>
      </w:pPr>
      <w:r>
        <w:rPr>
          <w:b/>
        </w:rPr>
        <w:t xml:space="preserve">9.7.</w:t>
      </w:r>
      <w:r>
        <w:tab/>
        <w:t xml:space="preserve">In case of force majeure, the Parties shall deliver notifications to each other exclusively in writing.</w:t>
      </w:r>
      <w:r/>
    </w:p>
    <w:p>
      <w:pPr>
        <w:pStyle w:val="1021"/>
        <w:pBdr/>
        <w:spacing/>
        <w:ind/>
        <w:jc w:val="both"/>
        <w:rPr/>
      </w:pPr>
      <w:r/>
      <w:permStart w:edGrp="everyone" w:id="449452991"/>
      <w:r>
        <w:rPr>
          <w:b/>
        </w:rPr>
        <w:t xml:space="preserve">9.8.</w:t>
      </w:r>
      <w:r>
        <w:t xml:space="preserve"> </w:t>
      </w:r>
      <w:r>
        <w:t xml:space="preserve">International sanctions under this Contract shall mean, including but not lim</w:t>
      </w:r>
      <w:r>
        <w:t xml:space="preserve">ited to, any restrictive measures or sanctions imposed by any of the bodies or authorities of the United Nations (UN), the European Union (EU) or its Member States, the United Kingdom (UK), or the United States of America (USA) (“International Sanctions”).</w:t>
      </w:r>
      <w:r/>
    </w:p>
    <w:p>
      <w:pPr>
        <w:pStyle w:val="1021"/>
        <w:pBdr/>
        <w:spacing/>
        <w:ind/>
        <w:jc w:val="both"/>
        <w:rPr/>
      </w:pPr>
      <w:r>
        <w:t xml:space="preserve">Each Party shall be obliged to notify the other Party if it becomes subject to International Sanctions (“Affected Party”) which limit the </w:t>
      </w:r>
      <w:r>
        <w:t xml:space="preserve">transactions which</w:t>
      </w:r>
      <w:r>
        <w:t xml:space="preserve"> are covered under this Contract. The notification shall be provided in written form, </w:t>
      </w:r>
      <w:r>
        <w:t xml:space="preserve">without delay</w:t>
      </w:r>
      <w:r>
        <w:t xml:space="preserve">, and in any case in a period not longer than 7 </w:t>
      </w:r>
      <w:r>
        <w:t xml:space="preserve">calendar days from the day the Affected Party became subject to International Sanctions. Failure to notify within the prescribed deadline shall give the other Party (“Non-affected Party”) the right to suspend or terminate the contract without prior notice.</w:t>
      </w:r>
      <w:r/>
    </w:p>
    <w:p>
      <w:pPr>
        <w:pStyle w:val="1021"/>
        <w:pBdr/>
        <w:spacing/>
        <w:ind/>
        <w:jc w:val="both"/>
        <w:rPr/>
      </w:pPr>
      <w:r>
        <w:t xml:space="preserve">In case a Party becomes subject to International Sanctions which limit the transactions which are covered under this Contract, the Parties shall wit</w:t>
      </w:r>
      <w:r>
        <w:t xml:space="preserve">hout delay, and in any case no longer than (30) calendar days from the date of notification prescribed in paragraph 2 of this Article, use all efforts to amend the provisions of this Contract, so as to fully comply with the prescribed limitations foreseen </w:t>
      </w:r>
      <w:r>
        <w:t xml:space="preserve">in International Sanctions.</w:t>
      </w:r>
      <w:r>
        <w:t xml:space="preserve"> Failure to amend the provisions of this Contract within the 30-day deadline shall give both Parties the right to suspend or terminate this Contract without prior notice.</w:t>
      </w:r>
      <w:r/>
    </w:p>
    <w:p>
      <w:pPr>
        <w:pStyle w:val="1021"/>
        <w:pBdr/>
        <w:spacing/>
        <w:ind/>
        <w:jc w:val="both"/>
        <w:rPr/>
      </w:pPr>
      <w:r>
        <w:t xml:space="preserve">Each Party shall be obliged to notify the other Party if it becomes subject to International </w:t>
      </w:r>
      <w:r>
        <w:t xml:space="preserve">Sanctions which</w:t>
      </w:r>
      <w:r>
        <w:t xml:space="preserve"> prohibit the transactions which are covered under this Contract. The notification </w:t>
      </w:r>
      <w:r>
        <w:t xml:space="preserve">shall be provided</w:t>
      </w:r>
      <w:r>
        <w:t xml:space="preserve"> in written form, immediately upon the Affected Party becoming subject to International Sanctions. In any case, if the Affected Party becomes subject to International Sanctions which prohibit the transactions that </w:t>
      </w:r>
      <w:r>
        <w:t xml:space="preserve">are covered</w:t>
      </w:r>
      <w:r>
        <w:t xml:space="preserve"> under this Contract, both Parties shall have the right to suspend or terminate this Contract without prior notice.</w:t>
      </w:r>
      <w:r/>
    </w:p>
    <w:p>
      <w:pPr>
        <w:pStyle w:val="1021"/>
        <w:pBdr/>
        <w:spacing/>
        <w:ind/>
        <w:jc w:val="both"/>
        <w:rPr/>
      </w:pPr>
      <w:r>
        <w:t xml:space="preserve">If the suspension of the Contract lasts continuously for 30 calendar days, </w:t>
      </w:r>
      <w:r>
        <w:t xml:space="preserve">the  each</w:t>
      </w:r>
      <w:r>
        <w:t xml:space="preserve"> Party shall have the right to unilaterally terminate the Contract.  </w:t>
      </w:r>
      <w:r/>
    </w:p>
    <w:p>
      <w:pPr>
        <w:pStyle w:val="1021"/>
        <w:pBdr/>
        <w:spacing/>
        <w:ind/>
        <w:jc w:val="both"/>
        <w:rPr>
          <w:rFonts w:eastAsia="Times New Roman"/>
          <w:lang w:val="lt-LT" w:eastAsia="lt-LT"/>
        </w:rPr>
      </w:pPr>
      <w:r>
        <w:t xml:space="preserve">In case of suspension or termination of the Contract as foreseen in paragraphs 2-5 of this Article,  both Parties waive all their claims and shall hold the  </w:t>
      </w:r>
      <w:r>
        <w:t xml:space="preserve">the</w:t>
      </w:r>
      <w:r>
        <w:t xml:space="preserve"> other Party harmless in relation to the suspension or termination of the Contract, except with regards to entitlements due under the Contract which arose before the Contract was suspended or terminated.</w:t>
      </w:r>
      <w:bookmarkEnd w:id="4"/>
      <w:r/>
      <w:permEnd w:id="449452991"/>
      <w:r>
        <w:rPr>
          <w:rFonts w:eastAsia="Times New Roman"/>
          <w:lang w:val="lt-LT" w:eastAsia="lt-LT"/>
        </w:rPr>
      </w:r>
    </w:p>
    <w:p>
      <w:pPr>
        <w:pStyle w:val="1004"/>
        <w:pBdr/>
        <w:spacing/>
        <w:ind/>
        <w:jc w:val="both"/>
        <w:rPr>
          <w:rFonts w:ascii="Arial" w:hAnsi="Arial" w:cs="Arial"/>
          <w:i/>
          <w:highlight w:val="none"/>
        </w:rPr>
      </w:pPr>
      <w:r>
        <w:rPr>
          <w:rFonts w:ascii="Arial" w:hAnsi="Arial" w:cs="Arial"/>
          <w:i/>
          <w:highlight w:val="none"/>
        </w:rPr>
      </w:r>
      <w:r>
        <w:rPr>
          <w:rFonts w:ascii="Arial" w:hAnsi="Arial" w:cs="Arial"/>
          <w:i/>
          <w:highlight w:val="none"/>
        </w:rPr>
      </w:r>
    </w:p>
    <w:p>
      <w:pPr>
        <w:pStyle w:val="1004"/>
        <w:pBdr/>
        <w:spacing/>
        <w:ind/>
        <w:jc w:val="both"/>
        <w:rPr>
          <w:rFonts w:ascii="Arial" w:hAnsi="Arial" w:cs="Arial"/>
          <w:i/>
          <w:highlight w:val="none"/>
        </w:rPr>
      </w:pPr>
      <w:r>
        <w:rPr>
          <w:rFonts w:ascii="Arial" w:hAnsi="Arial" w:cs="Arial"/>
          <w:i/>
          <w:highlight w:val="none"/>
        </w:rPr>
      </w:r>
      <w:r>
        <w:rPr>
          <w:rFonts w:ascii="Arial" w:hAnsi="Arial" w:cs="Arial"/>
          <w:i/>
          <w:highlight w:val="none"/>
        </w:rPr>
      </w:r>
    </w:p>
    <w:p>
      <w:pPr>
        <w:pStyle w:val="1016"/>
        <w:pBdr/>
        <w:spacing w:after="200" w:line="276" w:lineRule="auto"/>
        <w:ind/>
        <w:jc w:val="center"/>
        <w:rPr/>
      </w:pPr>
      <w:r/>
      <w:bookmarkStart w:id="5" w:name="_Hlk185337831"/>
      <w:r>
        <w:t xml:space="preserve">10.</w:t>
      </w:r>
      <w:r>
        <w:tab/>
        <w:t xml:space="preserve">CANCELLATION AND TERMINATION OF THE AGREEMENT FOR DEFAULT</w:t>
      </w:r>
      <w:r/>
    </w:p>
    <w:p>
      <w:pPr>
        <w:pStyle w:val="1017"/>
        <w:pBdr/>
        <w:spacing w:after="120" w:before="120" w:line="240" w:lineRule="auto"/>
        <w:ind/>
        <w:jc w:val="both"/>
        <w:rPr/>
      </w:pPr>
      <w:r>
        <w:rPr>
          <w:b/>
          <w:color w:val="000000" w:themeColor="text1"/>
        </w:rPr>
        <w:t xml:space="preserve">10.1.</w:t>
      </w:r>
      <w:r>
        <w:rPr>
          <w:color w:val="000000" w:themeColor="text1"/>
        </w:rPr>
        <w:tab/>
      </w:r>
      <w:permStart w:edGrp="everyone" w:id="1425898613"/>
      <w:r>
        <w:t xml:space="preserve">The Client may terminate this Agreement at any time by submitting a notice of termination, with a notice period of _____ calendar days.</w:t>
      </w:r>
      <w:permEnd w:id="1425898613"/>
      <w:r/>
      <w:r/>
    </w:p>
    <w:p>
      <w:pPr>
        <w:pStyle w:val="1018"/>
        <w:pBdr/>
        <w:spacing w:after="120" w:before="120" w:line="240" w:lineRule="auto"/>
        <w:ind/>
        <w:jc w:val="both"/>
        <w:rPr/>
      </w:pPr>
      <w:r>
        <w:t xml:space="preserve">The Client shall not be liable for any damage that might be suffered by the Contractor on this basis.</w:t>
      </w:r>
      <w:r/>
    </w:p>
    <w:p>
      <w:pPr>
        <w:pStyle w:val="1018"/>
        <w:pBdr/>
        <w:spacing w:after="120" w:before="120" w:line="240" w:lineRule="auto"/>
        <w:ind/>
        <w:jc w:val="both"/>
        <w:rPr/>
      </w:pPr>
      <w:r>
        <w:t xml:space="preserve">In case of Agreement cancellation, at the written request of the Client, the Contractor is obliged to act in good faith and transfer its own operations under this Agreement to the Client or a new Contractor engaged by the Client.</w:t>
      </w:r>
      <w:r/>
    </w:p>
    <w:p>
      <w:pPr>
        <w:pStyle w:val="1018"/>
        <w:pBdr/>
        <w:spacing w:after="120" w:before="120" w:line="240" w:lineRule="auto"/>
        <w:ind/>
        <w:jc w:val="both"/>
        <w:rPr/>
      </w:pPr>
      <w:r>
        <w:rPr>
          <w:b/>
        </w:rPr>
        <w:t xml:space="preserve">10.2.</w:t>
      </w:r>
      <w:r>
        <w:rPr>
          <w:b/>
        </w:rPr>
        <w:tab/>
      </w:r>
      <w:r>
        <w:t xml:space="preserve">The Client may terminate this Agreement by submitting a written notice of default to the Contractor, leaving an appropriate additional deadline of 8 working days for fulfilment, counting from the date of delivery of the notice.</w:t>
      </w:r>
      <w:r/>
    </w:p>
    <w:p>
      <w:pPr>
        <w:pStyle w:val="1018"/>
        <w:pBdr/>
        <w:spacing w:after="120" w:before="120" w:line="240" w:lineRule="auto"/>
        <w:ind/>
        <w:jc w:val="both"/>
        <w:rPr/>
      </w:pPr>
      <w:r>
        <w:t xml:space="preserve">In the event of termination referred to in the previous paragraph, the Client shall submit for collection th</w:t>
      </w:r>
      <w:r>
        <w:t xml:space="preserve">e security instrument referred to in item 6.1. of the Agreement, and the Contractor shall reimburse the Client for all damages and all costs incurred to procure the services from a third-party contractor, as well as for all damages incurred on this basis. </w:t>
      </w:r>
      <w:bookmarkEnd w:id="5"/>
      <w:r/>
      <w:r/>
    </w:p>
    <w:p>
      <w:pPr>
        <w:pBdr/>
        <w:spacing w:after="120" w:before="120" w:line="240" w:lineRule="auto"/>
        <w:ind/>
        <w:jc w:val="both"/>
        <w:rPr>
          <w:rFonts w:ascii="Arial" w:hAnsi="Arial" w:eastAsia="Calibri" w:cs="Arial"/>
          <w:color w:val="000000" w:themeColor="text1"/>
        </w:rPr>
      </w:pPr>
      <w:r>
        <w:rPr>
          <w:rFonts w:ascii="Arial" w:hAnsi="Arial" w:eastAsia="Calibri" w:cs="Arial"/>
          <w:color w:val="000000" w:themeColor="text1"/>
        </w:rPr>
      </w:r>
      <w:r>
        <w:rPr>
          <w:rFonts w:ascii="Arial" w:hAnsi="Arial" w:eastAsia="Calibri" w:cs="Arial"/>
          <w:color w:val="000000" w:themeColor="text1"/>
        </w:rPr>
      </w:r>
    </w:p>
    <w:p>
      <w:pPr>
        <w:pStyle w:val="1025"/>
        <w:pBdr/>
        <w:spacing w:after="120" w:before="120" w:line="240" w:lineRule="auto"/>
        <w:ind/>
        <w:jc w:val="center"/>
        <w:rPr>
          <w:rFonts w:eastAsia="Calibri" w:cs="Arial"/>
        </w:rPr>
      </w:pPr>
      <w:r>
        <w:t xml:space="preserve">11. DATA OWNERSHIP AND INTELLECTUAL PROPERTY</w:t>
      </w:r>
      <w:r>
        <w:rPr>
          <w:rFonts w:eastAsia="Calibri" w:cs="Arial"/>
        </w:rPr>
      </w:r>
    </w:p>
    <w:p>
      <w:pPr>
        <w:pBdr/>
        <w:spacing w:after="200" w:line="276" w:lineRule="auto"/>
        <w:ind/>
        <w:jc w:val="both"/>
        <w:rPr>
          <w:rFonts w:ascii="Arial" w:hAnsi="Arial" w:eastAsia="Calibri" w:cs="Arial"/>
        </w:rPr>
      </w:pPr>
      <w:r>
        <w:rPr>
          <w:rFonts w:ascii="Arial" w:hAnsi="Arial"/>
          <w:b/>
        </w:rPr>
        <w:t xml:space="preserve">11.1.</w:t>
      </w:r>
      <w:r>
        <w:rPr>
          <w:rFonts w:ascii="Arial" w:hAnsi="Arial" w:eastAsia="Calibri" w:cs="Arial"/>
        </w:rPr>
        <w:tab/>
        <w:t xml:space="preserve">The Contractor undertakes under this Agreement to deliver to the Client the result of the provided Services free from the rights of third parties.</w:t>
      </w:r>
      <w:r>
        <w:rPr>
          <w:rFonts w:ascii="Arial" w:hAnsi="Arial" w:eastAsia="Calibri" w:cs="Arial"/>
        </w:rPr>
      </w:r>
    </w:p>
    <w:p>
      <w:pPr>
        <w:pStyle w:val="1017"/>
        <w:pBdr/>
        <w:spacing w:after="200" w:line="276" w:lineRule="auto"/>
        <w:ind/>
        <w:jc w:val="both"/>
        <w:rPr/>
      </w:pPr>
      <w:r>
        <w:rPr>
          <w:b/>
        </w:rPr>
        <w:t xml:space="preserve">11.2.</w:t>
      </w:r>
      <w:r>
        <w:tab/>
        <w:t xml:space="preserve">The Contractor guarantees to the Client that it is the owner of all necessary rights to copyright works used by the Contractor when providing the Services under this Agreement.</w:t>
      </w:r>
      <w:r/>
    </w:p>
    <w:p>
      <w:pPr>
        <w:pBdr/>
        <w:spacing w:after="200" w:line="276" w:lineRule="auto"/>
        <w:ind/>
        <w:jc w:val="both"/>
        <w:rPr>
          <w:rFonts w:ascii="Arial" w:hAnsi="Arial" w:eastAsia="Calibri" w:cs="Arial"/>
        </w:rPr>
      </w:pPr>
      <w:r>
        <w:rPr>
          <w:rFonts w:ascii="Arial" w:hAnsi="Arial" w:eastAsia="Calibri" w:cs="Arial"/>
          <w:b/>
        </w:rPr>
        <w:t xml:space="preserve">11.3.</w:t>
      </w:r>
      <w:r>
        <w:rPr>
          <w:rFonts w:ascii="Arial" w:hAnsi="Arial"/>
        </w:rPr>
        <w:t xml:space="preserve"> In the case when the provision of the Services according to this Agreement directly provides for the creation of a computer program and/or a database, the exclusive copyright and related rights, as well as other intellect</w:t>
      </w:r>
      <w:r>
        <w:rPr>
          <w:rFonts w:ascii="Arial" w:hAnsi="Arial"/>
        </w:rPr>
        <w:t xml:space="preserve">ual property rights in that program and/or database, including the accompanying technical and user documentation, in any form of expression, including the preparatory material for their development, which will be created for the needs of the Client during </w:t>
      </w:r>
      <w:r>
        <w:rPr>
          <w:rFonts w:ascii="Arial" w:hAnsi="Arial"/>
        </w:rPr>
        <w:t xml:space="preserve">the term of this Agreement, as well as any results obtained in this way, shall permanently belong to the Client from the moment of their creation.</w:t>
      </w:r>
      <w:r>
        <w:rPr>
          <w:rFonts w:ascii="Arial" w:hAnsi="Arial" w:eastAsia="Calibri" w:cs="Arial"/>
        </w:rPr>
      </w:r>
    </w:p>
    <w:p>
      <w:pPr>
        <w:pStyle w:val="1017"/>
        <w:pBdr/>
        <w:spacing w:after="200" w:line="276" w:lineRule="auto"/>
        <w:ind/>
        <w:jc w:val="both"/>
        <w:rPr/>
      </w:pPr>
      <w:r>
        <w:rPr>
          <w:b/>
        </w:rPr>
        <w:t xml:space="preserve">11.4.</w:t>
      </w:r>
      <w:r>
        <w:tab/>
        <w:t xml:space="preserve">In the case when, during the provision of the Services according to this Agreement, which do not directly provide for the creation of a computer program and/or database, the Contractor creates a</w:t>
      </w:r>
      <w:r>
        <w:t xml:space="preserve"> computer program or database, including the accompanying technical and user documentation, in any form of expression, including the preparatory material for their preparation, which shall be prepared for the needs of the Client during the term of this Agr</w:t>
      </w:r>
      <w:r>
        <w:t xml:space="preserve">eement, as well as any results obtained in this way, the exclusive copyright and related rights as well as other intellectual property rights in that computer program and/or database shall permanently belong to the Client from the moment of their creation.</w:t>
      </w:r>
      <w:r/>
    </w:p>
    <w:p>
      <w:pPr>
        <w:pStyle w:val="1017"/>
        <w:pBdr/>
        <w:spacing w:after="200" w:line="276" w:lineRule="auto"/>
        <w:ind/>
        <w:jc w:val="both"/>
        <w:rPr>
          <w:b/>
        </w:rPr>
      </w:pPr>
      <w:r>
        <w:rPr>
          <w:b/>
        </w:rPr>
        <w:t xml:space="preserve">11.5. </w:t>
      </w:r>
      <w:r>
        <w:t xml:space="preserve">In the cases referred to in items 11.3 and 11.4 of this Agreement:</w:t>
      </w:r>
      <w:r>
        <w:rPr>
          <w:b/>
        </w:rPr>
        <w:t xml:space="preserve"> </w:t>
      </w:r>
      <w:r>
        <w:rPr>
          <w:b/>
        </w:rPr>
      </w:r>
    </w:p>
    <w:p>
      <w:pPr>
        <w:pStyle w:val="1026"/>
        <w:numPr>
          <w:ilvl w:val="0"/>
          <w:numId w:val="1"/>
        </w:numPr>
        <w:pBdr/>
        <w:spacing w:after="0" w:line="276" w:lineRule="auto"/>
        <w:ind w:left="360"/>
        <w:contextualSpacing w:val="false"/>
        <w:jc w:val="both"/>
        <w:rPr>
          <w:b/>
        </w:rPr>
      </w:pPr>
      <w:r>
        <w:t xml:space="preserve">the compensation to the Contractor for the creation of the subject of</w:t>
      </w:r>
      <w:r>
        <w:t xml:space="preserve"> the copyright and legal or related legal protection, i.e. protection through other intellectual property rights, which arise in the process of execution of this Agreement shall be deemed included in the price of the Services referred to in this Agreement;</w:t>
      </w:r>
      <w:r>
        <w:rPr>
          <w:b/>
        </w:rPr>
      </w:r>
    </w:p>
    <w:p>
      <w:pPr>
        <w:pStyle w:val="1026"/>
        <w:numPr>
          <w:ilvl w:val="0"/>
          <w:numId w:val="1"/>
        </w:numPr>
        <w:pBdr/>
        <w:spacing w:after="200" w:line="276" w:lineRule="auto"/>
        <w:ind w:left="360"/>
        <w:jc w:val="both"/>
        <w:rPr/>
      </w:pPr>
      <w:r>
        <w:t xml:space="preserve">The Client shall have all the</w:t>
      </w:r>
      <w:r>
        <w:rPr>
          <w:b/>
        </w:rPr>
        <w:t xml:space="preserve"> </w:t>
      </w:r>
      <w:r>
        <w:t xml:space="preserve">rights to ec</w:t>
      </w:r>
      <w:r>
        <w:t xml:space="preserve">onomically exploit copyright works, i.e. items of rights related to copyright, i.e. items protected by other intellectual property rights, which arise on the basis of this Agreement, without any substantive, spatial and temporal restrictions, which the Cli</w:t>
      </w:r>
      <w:r>
        <w:t xml:space="preserve">ent, as the holder of exclusive property rights, is authorised to assign or transfer to third parties to the same extent, without payment of the copyright fee, i.e. it shall be considered included in the price of the services referred to in this Agreement;</w:t>
      </w:r>
      <w:r/>
    </w:p>
    <w:p>
      <w:pPr>
        <w:pStyle w:val="1026"/>
        <w:numPr>
          <w:ilvl w:val="0"/>
          <w:numId w:val="1"/>
        </w:numPr>
        <w:pBdr/>
        <w:spacing w:after="200" w:line="276" w:lineRule="auto"/>
        <w:ind w:left="360"/>
        <w:jc w:val="both"/>
        <w:rPr/>
      </w:pPr>
      <w:r>
        <w:t xml:space="preserve">The Contractor agrees that the Client shall have the right, wit</w:t>
      </w:r>
      <w:r>
        <w:t xml:space="preserve">hout its further consent, to publicly disclose the works created on the basis of this Agreement without indicating the name of the Contractor, to publish such works and to amend or rework them, as well as to assign and transfer this right to third parties.</w:t>
      </w:r>
      <w:r/>
    </w:p>
    <w:p>
      <w:pPr>
        <w:pStyle w:val="1017"/>
        <w:pBdr/>
        <w:spacing/>
        <w:ind/>
        <w:jc w:val="both"/>
        <w:rPr/>
      </w:pPr>
      <w:r>
        <w:rPr>
          <w:b/>
        </w:rPr>
        <w:t xml:space="preserve">11.6.</w:t>
      </w:r>
      <w:r>
        <w:tab/>
        <w:t xml:space="preserve">The Contractor undertakes to protect the Client from any rights and claims of third parties that reduce, limit, or disable the Client's use of the computer program and/or database and any results obtained in t</w:t>
      </w:r>
      <w:r>
        <w:t xml:space="preserve">his way, as well as the exercise of other intellectual property rights in accordance with this Agreement, and undertakes to compensate the Client for all damages incurred by it in this case. The Contractor undertakes, acting with the due professional care,</w:t>
      </w:r>
      <w:r>
        <w:t xml:space="preserve"> to take all necessary legal actions regarding the protection of the Client's intellectual property rights arising as a result of this Agreement from all requests of third parties, especially in proceedings before administrative, judicial and other bodies.</w:t>
      </w:r>
      <w:r/>
    </w:p>
    <w:p>
      <w:pPr>
        <w:pStyle w:val="1017"/>
        <w:pBdr/>
        <w:spacing/>
        <w:ind/>
        <w:jc w:val="both"/>
        <w:rPr/>
      </w:pPr>
      <w:r>
        <w:rPr>
          <w:b/>
        </w:rPr>
        <w:t xml:space="preserve">11.7</w:t>
      </w:r>
      <w:r>
        <w:t xml:space="preserve"> The Contractor agrees that it does not acquire any right, license, or exercise any interest, directly or indirectly, by this</w:t>
      </w:r>
      <w:r>
        <w:t xml:space="preserve"> Agreement, on the basis of any intellectual property right that the Client and/or its subsidiaries own now or will own in the future in connection with this Agreement, as well as any other intellectual property right of the Client and/or its subsidiaries.</w:t>
      </w:r>
      <w:r/>
    </w:p>
    <w:p>
      <w:pPr>
        <w:pBdr/>
        <w:spacing/>
        <w:ind/>
        <w:jc w:val="both"/>
        <w:rPr>
          <w:rFonts w:ascii="Arial" w:hAnsi="Arial"/>
        </w:rPr>
      </w:pPr>
      <w:r>
        <w:rPr>
          <w:rFonts w:ascii="Arial" w:hAnsi="Arial"/>
        </w:rPr>
      </w:r>
      <w:r>
        <w:rPr>
          <w:rFonts w:ascii="Arial" w:hAnsi="Arial"/>
        </w:rPr>
      </w:r>
    </w:p>
    <w:p>
      <w:pPr>
        <w:pStyle w:val="1016"/>
        <w:pBdr/>
        <w:spacing w:after="120" w:before="120" w:line="240" w:lineRule="auto"/>
        <w:ind/>
        <w:jc w:val="center"/>
        <w:rPr/>
      </w:pPr>
      <w:r>
        <w:t xml:space="preserve">12.</w:t>
      </w:r>
      <w:r>
        <w:tab/>
        <w:t xml:space="preserve">FINAL PROVISIONS</w:t>
      </w:r>
      <w:r/>
    </w:p>
    <w:p>
      <w:pPr>
        <w:pStyle w:val="1018"/>
        <w:pBdr/>
        <w:spacing w:after="120" w:before="120" w:line="240" w:lineRule="auto"/>
        <w:ind/>
        <w:jc w:val="both"/>
        <w:rPr/>
      </w:pPr>
      <w:r>
        <w:rPr>
          <w:b/>
        </w:rPr>
        <w:t xml:space="preserve">12.1.</w:t>
      </w:r>
      <w:r>
        <w:tab/>
        <w:t xml:space="preserve">This Agreement shall be governed by the legislation of the Republic of Serbia.</w:t>
      </w:r>
      <w:r/>
    </w:p>
    <w:p>
      <w:pPr>
        <w:pStyle w:val="1018"/>
        <w:pBdr/>
        <w:spacing w:after="120" w:before="120" w:line="240" w:lineRule="auto"/>
        <w:ind/>
        <w:jc w:val="both"/>
        <w:rPr/>
      </w:pPr>
      <w:r/>
      <w:permStart w:edGrp="everyone" w:id="1211575370"/>
      <w:r>
        <w:rPr>
          <w:b/>
        </w:rPr>
        <w:t xml:space="preserve">12.2.</w:t>
      </w:r>
      <w:r>
        <w:tab/>
        <w:t xml:space="preserve">All possible disputes arising out of or in connection with the Agreement shall be resolved by the Commercial Court in Novi Sad</w:t>
      </w:r>
      <w:r>
        <w:t xml:space="preserve">.</w:t>
      </w:r>
      <w:r/>
    </w:p>
    <w:p>
      <w:pPr>
        <w:pStyle w:val="1020"/>
        <w:pBdr/>
        <w:spacing w:after="120" w:before="120" w:line="240" w:lineRule="auto"/>
        <w:ind/>
        <w:jc w:val="both"/>
        <w:rPr>
          <w:highlight w:val="none"/>
        </w:rPr>
      </w:pPr>
      <w:r>
        <w:rPr>
          <w:highlight w:val="none"/>
        </w:rPr>
        <w:t xml:space="preserve">[</w:t>
      </w:r>
      <w:r>
        <w:rPr>
          <w:highlight w:val="none"/>
        </w:rPr>
        <w:t xml:space="preserve">note</w:t>
      </w:r>
      <w:r>
        <w:rPr>
          <w:highlight w:val="none"/>
        </w:rPr>
        <w:t xml:space="preserve"> to the author: the alternative clause 12.2 is given below in the event that the agreement is concluded with a foreign contractor. Choose one of these two options and delete the other]</w:t>
      </w:r>
      <w:r>
        <w:rPr>
          <w:highlight w:val="none"/>
        </w:rPr>
      </w:r>
    </w:p>
    <w:p>
      <w:pPr>
        <w:pStyle w:val="1018"/>
        <w:pBdr/>
        <w:spacing w:after="120" w:before="120" w:line="240" w:lineRule="auto"/>
        <w:ind/>
        <w:jc w:val="both"/>
        <w:rPr/>
      </w:pPr>
      <w:r>
        <w:rPr>
          <w:b/>
        </w:rPr>
        <w:t xml:space="preserve">12.2.</w:t>
      </w:r>
      <w:r>
        <w:t xml:space="preserve"> The Parties agree that any dispute arising out of or in connection with this Agreement </w:t>
      </w:r>
      <w:r>
        <w:t xml:space="preserve">shall be finally settled</w:t>
      </w:r>
      <w:r>
        <w:t xml:space="preserve"> by arbitration organised in accordance with the Rules of the Permanent Arbitration at the Chamber of Commerce and Industry of Serbia.</w:t>
      </w:r>
      <w:permEnd w:id="1211575370"/>
      <w:r/>
      <w:r/>
    </w:p>
    <w:p>
      <w:pPr>
        <w:pStyle w:val="1018"/>
        <w:pBdr/>
        <w:spacing w:after="120" w:before="120" w:line="240" w:lineRule="auto"/>
        <w:ind/>
        <w:jc w:val="both"/>
        <w:rPr/>
      </w:pPr>
      <w:r>
        <w:rPr>
          <w:b/>
        </w:rPr>
        <w:t xml:space="preserve">12.3.</w:t>
      </w:r>
      <w:r>
        <w:rPr>
          <w:b/>
        </w:rPr>
        <w:tab/>
      </w:r>
      <w:r>
        <w:t xml:space="preserve">Neither Party has the right to transfer the rights and obligations under the Agreement to third parties without prior approval in writing received from the other Party.</w:t>
      </w:r>
      <w:r/>
    </w:p>
    <w:p>
      <w:pPr>
        <w:pStyle w:val="1018"/>
        <w:pBdr/>
        <w:spacing w:after="120" w:before="120" w:line="240" w:lineRule="auto"/>
        <w:ind/>
        <w:jc w:val="both"/>
        <w:rPr>
          <w:b/>
        </w:rPr>
      </w:pPr>
      <w:r>
        <w:rPr>
          <w:b/>
        </w:rPr>
        <w:t xml:space="preserve">12.4.</w:t>
      </w:r>
      <w:r>
        <w:tab/>
      </w:r>
      <w:permStart w:edGrp="everyone" w:id="1417427883"/>
      <w:r>
        <w:rPr>
          <w:b/>
        </w:rPr>
        <w:t xml:space="preserve">[</w:t>
      </w:r>
      <w:r>
        <w:rPr>
          <w:b/>
        </w:rPr>
        <w:t xml:space="preserve">note</w:t>
      </w:r>
      <w:r>
        <w:rPr>
          <w:b/>
        </w:rPr>
        <w:t xml:space="preserve"> to the author: Choose one of these two options and delete the other]:</w:t>
      </w:r>
      <w:r>
        <w:rPr>
          <w:b/>
        </w:rPr>
      </w:r>
    </w:p>
    <w:p>
      <w:pPr>
        <w:pStyle w:val="1018"/>
        <w:pBdr/>
        <w:spacing w:after="120" w:before="120" w:line="240" w:lineRule="auto"/>
        <w:ind/>
        <w:jc w:val="both"/>
        <w:rPr/>
      </w:pPr>
      <w:r>
        <w:t xml:space="preserve">This Agreement is valid until [________].</w:t>
      </w:r>
      <w:permEnd w:id="1417427883"/>
      <w:r/>
      <w:r/>
    </w:p>
    <w:p>
      <w:pPr>
        <w:pStyle w:val="1018"/>
        <w:pBdr/>
        <w:spacing w:after="120" w:before="120" w:line="240" w:lineRule="auto"/>
        <w:ind/>
        <w:jc w:val="both"/>
        <w:rPr/>
      </w:pPr>
      <w:r>
        <w:rPr>
          <w:b/>
        </w:rPr>
        <w:t xml:space="preserve">12.5.</w:t>
      </w:r>
      <w:r>
        <w:t xml:space="preserve"> In the event that the provisions of Appendix 1 otherwise regulate the matters of this Agreement, the provisions of Appendix 1 shall be deemed prevailing and binding for the Parties.</w:t>
      </w:r>
      <w:r/>
    </w:p>
    <w:p>
      <w:pPr>
        <w:pStyle w:val="1018"/>
        <w:pBdr/>
        <w:spacing w:after="120" w:before="120" w:line="240" w:lineRule="auto"/>
        <w:ind/>
        <w:jc w:val="both"/>
        <w:rPr/>
      </w:pPr>
      <w:r>
        <w:rPr>
          <w:b/>
        </w:rPr>
        <w:t xml:space="preserve">12.5.</w:t>
      </w:r>
      <w:r>
        <w:tab/>
        <w:t xml:space="preserve">All notifications, requests, and other correspondence between the Contracting Parties during the term of this Agreement shall be made by e-mail or by mail to the following address: </w:t>
      </w:r>
      <w:r/>
    </w:p>
    <w:p>
      <w:pPr>
        <w:pBdr/>
        <w:spacing w:after="120" w:before="120" w:line="240" w:lineRule="auto"/>
        <w:ind/>
        <w:jc w:val="both"/>
        <w:rPr>
          <w:rFonts w:ascii="Arial" w:hAnsi="Arial" w:eastAsia="Calibri" w:cs="Arial"/>
          <w:color w:val="000000" w:themeColor="text1"/>
        </w:rPr>
      </w:pPr>
      <w:r>
        <w:rPr>
          <w:rFonts w:ascii="Arial" w:hAnsi="Arial" w:eastAsia="Calibri" w:cs="Arial"/>
          <w:color w:val="000000" w:themeColor="text1"/>
        </w:rPr>
      </w:r>
      <w:r>
        <w:rPr>
          <w:rFonts w:ascii="Arial" w:hAnsi="Arial" w:eastAsia="Calibri" w:cs="Arial"/>
          <w:color w:val="000000" w:themeColor="text1"/>
        </w:rPr>
      </w:r>
    </w:p>
    <w:p>
      <w:pPr>
        <w:pBdr/>
        <w:spacing w:after="120" w:before="120" w:line="240" w:lineRule="auto"/>
        <w:ind/>
        <w:jc w:val="both"/>
        <w:rPr>
          <w:rFonts w:ascii="Arial" w:hAnsi="Arial" w:eastAsia="Calibri" w:cs="Arial"/>
          <w:color w:val="000000" w:themeColor="text1"/>
        </w:rPr>
      </w:pPr>
      <w:r>
        <w:rPr>
          <w:rFonts w:ascii="Arial" w:hAnsi="Arial" w:eastAsia="Calibri" w:cs="Arial"/>
          <w:color w:val="000000" w:themeColor="text1"/>
        </w:rPr>
      </w:r>
      <w:r>
        <w:rPr>
          <w:rFonts w:ascii="Arial" w:hAnsi="Arial" w:eastAsia="Calibri" w:cs="Arial"/>
          <w:color w:val="000000" w:themeColor="text1"/>
        </w:rPr>
      </w:r>
    </w:p>
    <w:p>
      <w:pPr>
        <w:pBdr/>
        <w:spacing w:after="120" w:before="120" w:line="240" w:lineRule="auto"/>
        <w:ind/>
        <w:jc w:val="both"/>
        <w:rPr>
          <w:rFonts w:ascii="Arial" w:hAnsi="Arial" w:eastAsia="Calibri" w:cs="Arial"/>
          <w:color w:val="000000" w:themeColor="text1"/>
        </w:rPr>
      </w:pPr>
      <w:r>
        <w:rPr>
          <w:rFonts w:ascii="Arial" w:hAnsi="Arial" w:eastAsia="Calibri" w:cs="Arial"/>
          <w:color w:val="000000" w:themeColor="text1"/>
        </w:rPr>
      </w:r>
      <w:r>
        <w:rPr>
          <w:rFonts w:ascii="Arial" w:hAnsi="Arial" w:eastAsia="Calibri" w:cs="Arial"/>
          <w:color w:val="000000" w:themeColor="text1"/>
        </w:rPr>
      </w:r>
    </w:p>
    <w:tbl>
      <w:tblPr>
        <w:tblStyle w:val="1003"/>
        <w:tblInd w:w="709" w:type="dxa"/>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347"/>
        <w:gridCol w:w="4560"/>
      </w:tblGrid>
      <w:tr>
        <w:trPr/>
        <w:tc>
          <w:tcPr>
            <w:tcBorders/>
            <w:tcW w:w="4347" w:type="dxa"/>
            <w:textDirection w:val="lrTb"/>
            <w:noWrap w:val="false"/>
          </w:tcPr>
          <w:p>
            <w:pPr>
              <w:pStyle w:val="1027"/>
              <w:pBdr/>
              <w:spacing w:after="120" w:before="120"/>
              <w:ind/>
              <w:jc w:val="both"/>
              <w:rPr/>
            </w:pPr>
            <w:r>
              <w:t xml:space="preserve">For the Client:</w:t>
            </w:r>
            <w:r/>
          </w:p>
          <w:p>
            <w:pPr>
              <w:pStyle w:val="1017"/>
              <w:pBdr/>
              <w:spacing w:after="120" w:before="120"/>
              <w:ind/>
              <w:jc w:val="both"/>
              <w:rPr/>
            </w:pPr>
            <w:r>
              <w:t xml:space="preserve">Naftna Industrija Srbije j.s.c. Novi Sad</w:t>
            </w:r>
            <w:r/>
          </w:p>
          <w:p>
            <w:pPr>
              <w:pStyle w:val="1017"/>
              <w:pBdr/>
              <w:spacing w:after="120" w:before="120"/>
              <w:ind/>
              <w:jc w:val="both"/>
              <w:rPr/>
            </w:pPr>
            <w:r>
              <w:t xml:space="preserve">12 Narodnog Fronta Street</w:t>
            </w:r>
            <w:r/>
          </w:p>
          <w:p>
            <w:pPr>
              <w:pStyle w:val="1017"/>
              <w:pBdr/>
              <w:spacing w:after="120" w:before="120"/>
              <w:ind/>
              <w:jc w:val="both"/>
              <w:rPr/>
            </w:pPr>
            <w:r>
              <w:t xml:space="preserve">21000 Novi Sad, Republic of Serbia</w:t>
            </w:r>
            <w:r/>
          </w:p>
          <w:p>
            <w:pPr>
              <w:pStyle w:val="1017"/>
              <w:pBdr/>
              <w:spacing w:after="200" w:line="276" w:lineRule="auto"/>
              <w:ind/>
              <w:rPr/>
            </w:pPr>
            <w:r/>
            <w:permStart w:edGrp="everyone" w:id="86929228"/>
            <w:r>
              <w:rPr>
                <w:b/>
              </w:rPr>
              <w:t xml:space="preserve">Contact person for commercial issues:</w:t>
            </w:r>
            <w:r>
              <w:t xml:space="preserve"> _____________________________</w:t>
            </w:r>
            <w:r/>
          </w:p>
          <w:p>
            <w:pPr>
              <w:pStyle w:val="1017"/>
              <w:pBdr/>
              <w:spacing w:after="200" w:line="276" w:lineRule="auto"/>
              <w:ind/>
              <w:rPr/>
            </w:pPr>
            <w:r>
              <w:t xml:space="preserve">Tel: ________________________</w:t>
            </w:r>
            <w:r/>
          </w:p>
          <w:p>
            <w:pPr>
              <w:pStyle w:val="1017"/>
              <w:pBdr/>
              <w:spacing w:after="200" w:line="276" w:lineRule="auto"/>
              <w:ind/>
              <w:rPr/>
            </w:pPr>
            <w:r>
              <w:t xml:space="preserve">e-mail: ______________________</w:t>
            </w:r>
            <w:r/>
          </w:p>
          <w:p>
            <w:pPr>
              <w:pStyle w:val="1017"/>
              <w:pBdr/>
              <w:spacing w:after="200" w:line="276" w:lineRule="auto"/>
              <w:ind/>
              <w:rPr/>
            </w:pPr>
            <w:r>
              <w:rPr>
                <w:b/>
              </w:rPr>
              <w:t xml:space="preserve">Contact person for technical issues:</w:t>
            </w:r>
            <w:r>
              <w:t xml:space="preserve"> ______________________________</w:t>
            </w:r>
            <w:r/>
          </w:p>
          <w:p>
            <w:pPr>
              <w:pStyle w:val="1017"/>
              <w:pBdr/>
              <w:spacing w:after="200" w:line="276" w:lineRule="auto"/>
              <w:ind/>
              <w:rPr/>
            </w:pPr>
            <w:r>
              <w:t xml:space="preserve">Tel: __________________________</w:t>
            </w:r>
            <w:r/>
          </w:p>
          <w:p>
            <w:pPr>
              <w:pStyle w:val="1017"/>
              <w:pBdr/>
              <w:spacing w:after="200" w:line="276" w:lineRule="auto"/>
              <w:ind/>
              <w:rPr/>
            </w:pPr>
            <w:r>
              <w:t xml:space="preserve">e-mail: _______________________</w:t>
            </w:r>
            <w:permEnd w:id="86929228"/>
            <w:r/>
            <w:r/>
          </w:p>
        </w:tc>
        <w:tc>
          <w:tcPr>
            <w:tcBorders/>
            <w:tcW w:w="4560" w:type="dxa"/>
            <w:textDirection w:val="lrTb"/>
            <w:noWrap w:val="false"/>
          </w:tcPr>
          <w:p>
            <w:pPr>
              <w:pStyle w:val="1027"/>
              <w:pBdr/>
              <w:spacing w:after="120" w:before="120"/>
              <w:ind/>
              <w:jc w:val="both"/>
              <w:rPr/>
            </w:pPr>
            <w:r>
              <w:t xml:space="preserve">For the Contractor:</w:t>
            </w:r>
            <w:r/>
          </w:p>
          <w:p>
            <w:pPr>
              <w:pStyle w:val="1017"/>
              <w:pBdr/>
              <w:spacing w:after="120" w:before="120"/>
              <w:ind/>
              <w:jc w:val="both"/>
              <w:rPr>
                <w:i/>
              </w:rPr>
            </w:pPr>
            <w:r/>
            <w:permStart w:edGrp="everyone" w:id="1150967205"/>
            <w:r>
              <w:t xml:space="preserve">_____________________________</w:t>
            </w:r>
            <w:r>
              <w:rPr>
                <w:i/>
              </w:rPr>
            </w:r>
          </w:p>
          <w:p>
            <w:pPr>
              <w:pStyle w:val="1017"/>
              <w:pBdr/>
              <w:spacing w:after="120" w:before="120"/>
              <w:ind/>
              <w:jc w:val="both"/>
              <w:rPr/>
            </w:pPr>
            <w:r>
              <w:t xml:space="preserve">_____________________________ </w:t>
            </w:r>
            <w:r/>
          </w:p>
          <w:p>
            <w:pPr>
              <w:pStyle w:val="1017"/>
              <w:pBdr/>
              <w:spacing w:after="120" w:before="120"/>
              <w:ind/>
              <w:jc w:val="both"/>
              <w:rPr/>
            </w:pPr>
            <w:r>
              <w:t xml:space="preserve">_____________________________</w:t>
            </w:r>
            <w:r/>
          </w:p>
          <w:p>
            <w:pPr>
              <w:pStyle w:val="1017"/>
              <w:pBdr/>
              <w:spacing w:after="200" w:line="276" w:lineRule="auto"/>
              <w:ind/>
              <w:rPr/>
            </w:pPr>
            <w:r>
              <w:rPr>
                <w:b/>
              </w:rPr>
              <w:t xml:space="preserve">Contact person for commercial issues:</w:t>
            </w:r>
            <w:r>
              <w:t xml:space="preserve"> _____________________________</w:t>
            </w:r>
            <w:r/>
          </w:p>
          <w:p>
            <w:pPr>
              <w:pStyle w:val="1017"/>
              <w:pBdr/>
              <w:spacing w:after="200" w:line="276" w:lineRule="auto"/>
              <w:ind/>
              <w:rPr/>
            </w:pPr>
            <w:r>
              <w:t xml:space="preserve">Tel: ________________________</w:t>
            </w:r>
            <w:r/>
          </w:p>
          <w:p>
            <w:pPr>
              <w:pStyle w:val="1017"/>
              <w:pBdr/>
              <w:spacing w:after="200" w:line="276" w:lineRule="auto"/>
              <w:ind/>
              <w:rPr/>
            </w:pPr>
            <w:r>
              <w:t xml:space="preserve">e-mail: ______________________</w:t>
            </w:r>
            <w:r/>
          </w:p>
          <w:p>
            <w:pPr>
              <w:pStyle w:val="1017"/>
              <w:pBdr/>
              <w:spacing w:after="200" w:line="276" w:lineRule="auto"/>
              <w:ind/>
              <w:rPr/>
            </w:pPr>
            <w:r>
              <w:rPr>
                <w:b/>
              </w:rPr>
              <w:t xml:space="preserve">Contact person for technical issues:</w:t>
            </w:r>
            <w:r>
              <w:t xml:space="preserve"> ______________________________</w:t>
            </w:r>
            <w:r/>
          </w:p>
          <w:p>
            <w:pPr>
              <w:pStyle w:val="1017"/>
              <w:pBdr/>
              <w:spacing w:after="200" w:line="276" w:lineRule="auto"/>
              <w:ind/>
              <w:rPr/>
            </w:pPr>
            <w:r>
              <w:t xml:space="preserve">Tel: __________________________</w:t>
            </w:r>
            <w:r/>
          </w:p>
          <w:p>
            <w:pPr>
              <w:pStyle w:val="1017"/>
              <w:pBdr/>
              <w:spacing w:after="200" w:line="276" w:lineRule="auto"/>
              <w:ind/>
              <w:rPr/>
            </w:pPr>
            <w:r>
              <w:t xml:space="preserve">e-mail: _______________________</w:t>
            </w:r>
            <w:permEnd w:id="1150967205"/>
            <w:r/>
            <w:r/>
          </w:p>
        </w:tc>
      </w:tr>
    </w:tbl>
    <w:p>
      <w:pPr>
        <w:pStyle w:val="1018"/>
        <w:pBdr/>
        <w:spacing w:after="120" w:before="120" w:line="240" w:lineRule="auto"/>
        <w:ind/>
        <w:jc w:val="both"/>
        <w:rPr>
          <w:b/>
        </w:rPr>
      </w:pPr>
      <w:r>
        <w:rPr>
          <w:b/>
        </w:rPr>
        <w:t xml:space="preserve">12.6.</w:t>
      </w:r>
      <w:r>
        <w:t xml:space="preserve"> This Agreement may be amended only by a written annex, signed by the authorised representatives of the Parties.</w:t>
      </w:r>
      <w:r>
        <w:rPr>
          <w:b/>
        </w:rPr>
      </w:r>
    </w:p>
    <w:p>
      <w:pPr>
        <w:pStyle w:val="1017"/>
        <w:pBdr/>
        <w:spacing w:after="120" w:before="120" w:line="240" w:lineRule="auto"/>
        <w:ind/>
        <w:jc w:val="both"/>
        <w:rPr>
          <w:color w:val="000000" w:themeColor="text1"/>
        </w:rPr>
      </w:pPr>
      <w:r>
        <w:rPr>
          <w:b/>
          <w:color w:val="000000" w:themeColor="text1"/>
        </w:rPr>
        <w:t xml:space="preserve">12.7.</w:t>
      </w:r>
      <w:r>
        <w:rPr>
          <w:color w:val="000000" w:themeColor="text1"/>
        </w:rPr>
        <w:tab/>
        <w:t xml:space="preserve">The Agreement is made in </w:t>
      </w:r>
      <w:permStart w:edGrp="everyone" w:id="1459845076"/>
      <w:r>
        <w:t xml:space="preserve">two</w:t>
      </w:r>
      <w:r>
        <w:t xml:space="preserve"> </w:t>
      </w:r>
      <w:r>
        <w:rPr>
          <w:color w:val="000000" w:themeColor="text1"/>
        </w:rPr>
        <w:t xml:space="preserve">identical copies </w:t>
      </w:r>
      <w:permEnd w:id="1459845076"/>
      <w:r>
        <w:rPr>
          <w:color w:val="000000" w:themeColor="text1"/>
        </w:rPr>
        <w:t xml:space="preserve">with equal force and effect, </w:t>
      </w:r>
      <w:permStart w:edGrp="everyone" w:id="512117995"/>
      <w:r>
        <w:rPr>
          <w:color w:val="000000" w:themeColor="text1"/>
        </w:rPr>
        <w:t xml:space="preserve">one</w:t>
      </w:r>
      <w:permEnd w:id="512117995"/>
      <w:r>
        <w:rPr>
          <w:color w:val="000000" w:themeColor="text1"/>
        </w:rPr>
        <w:t xml:space="preserve"> for each Party.</w:t>
      </w:r>
      <w:r>
        <w:rPr>
          <w:color w:val="000000" w:themeColor="text1"/>
        </w:rPr>
      </w:r>
    </w:p>
    <w:p>
      <w:pPr>
        <w:pBdr/>
        <w:spacing w:after="120" w:before="120" w:line="240" w:lineRule="auto"/>
        <w:ind/>
        <w:jc w:val="both"/>
        <w:rPr>
          <w:rFonts w:ascii="Arial" w:hAnsi="Arial" w:eastAsia="Calibri" w:cs="Arial"/>
          <w:color w:val="000000" w:themeColor="text1"/>
        </w:rPr>
      </w:pPr>
      <w:r>
        <w:rPr>
          <w:rFonts w:ascii="Arial" w:hAnsi="Arial" w:eastAsia="Calibri" w:cs="Arial"/>
          <w:color w:val="000000" w:themeColor="text1"/>
        </w:rPr>
      </w:r>
      <w:r>
        <w:rPr>
          <w:rFonts w:ascii="Arial" w:hAnsi="Arial" w:eastAsia="Calibri" w:cs="Arial"/>
          <w:color w:val="000000" w:themeColor="text1"/>
        </w:rPr>
      </w:r>
    </w:p>
    <w:p>
      <w:pPr>
        <w:pStyle w:val="1018"/>
        <w:pBdr/>
        <w:spacing w:after="120" w:before="120" w:line="240" w:lineRule="auto"/>
        <w:ind/>
        <w:jc w:val="both"/>
        <w:rPr/>
      </w:pPr>
      <w:r/>
      <w:permStart w:edGrp="everyone" w:id="1514810142"/>
      <w:r>
        <w:t xml:space="preserve">Appendix 1: Specification </w:t>
      </w:r>
      <w:r/>
    </w:p>
    <w:p>
      <w:pPr>
        <w:pBdr/>
        <w:spacing w:after="120" w:before="120" w:line="240" w:lineRule="auto"/>
        <w:ind/>
        <w:jc w:val="both"/>
        <w:rPr>
          <w:rFonts w:ascii="Arial" w:hAnsi="Arial" w:cs="Arial"/>
          <w:b/>
          <w:i/>
        </w:rPr>
      </w:pPr>
      <w:r>
        <w:rPr>
          <w:rFonts w:ascii="Arial" w:hAnsi="Arial" w:eastAsia="Calibri" w:cs="Arial"/>
          <w:color w:val="000000" w:themeColor="text1"/>
        </w:rPr>
        <w:t xml:space="preserve">Appendix 2: Record on the Performed Service </w:t>
      </w:r>
      <w:r>
        <w:rPr>
          <w:rFonts w:ascii="Arial" w:hAnsi="Arial" w:cs="Arial"/>
          <w:b/>
          <w:i/>
        </w:rPr>
        <w:t xml:space="preserve">[note to the author: valid form in NIS </w:t>
      </w:r>
      <w:r>
        <w:rPr>
          <w:rFonts w:ascii="Arial" w:hAnsi="Arial" w:cs="Arial"/>
          <w:b/>
          <w:i/>
        </w:rPr>
        <w:t xml:space="preserve">a.d.</w:t>
      </w:r>
      <w:r>
        <w:rPr>
          <w:rFonts w:ascii="Arial" w:hAnsi="Arial" w:cs="Arial"/>
          <w:b/>
          <w:i/>
        </w:rPr>
        <w:t xml:space="preserve"> Novi Sad]</w:t>
      </w:r>
      <w:r>
        <w:rPr>
          <w:rFonts w:ascii="Arial" w:hAnsi="Arial" w:cs="Arial"/>
          <w:b/>
          <w:i/>
        </w:rPr>
      </w:r>
    </w:p>
    <w:p>
      <w:pPr>
        <w:pBdr/>
        <w:spacing w:after="120" w:before="120" w:line="240" w:lineRule="auto"/>
        <w:ind/>
        <w:jc w:val="both"/>
        <w:rPr>
          <w:rFonts w:ascii="Arial" w:hAnsi="Arial" w:eastAsia="Calibri" w:cs="Arial"/>
        </w:rPr>
      </w:pPr>
      <w:r>
        <w:rPr>
          <w:rFonts w:ascii="Arial" w:hAnsi="Arial" w:eastAsia="Calibri" w:cs="Arial"/>
        </w:rPr>
        <w:t xml:space="preserve">Appendix 3: Technical Assignment </w:t>
      </w:r>
      <w:r>
        <w:rPr>
          <w:rFonts w:ascii="Arial" w:hAnsi="Arial" w:cs="Arial"/>
          <w:b/>
          <w:i/>
        </w:rPr>
        <w:t xml:space="preserve">[note to the author: free form]</w:t>
      </w:r>
      <w:permEnd w:id="1514810142"/>
      <w:r/>
      <w:r>
        <w:rPr>
          <w:rFonts w:ascii="Arial" w:hAnsi="Arial" w:eastAsia="Calibri" w:cs="Arial"/>
        </w:rPr>
      </w:r>
    </w:p>
    <w:p>
      <w:pPr>
        <w:pBdr/>
        <w:spacing w:after="120" w:before="120" w:line="240" w:lineRule="auto"/>
        <w:ind/>
        <w:jc w:val="both"/>
        <w:rPr>
          <w:rFonts w:ascii="Arial" w:hAnsi="Arial" w:eastAsia="Calibri" w:cs="Arial"/>
        </w:rPr>
      </w:pPr>
      <w:r>
        <w:rPr>
          <w:rFonts w:ascii="Arial" w:hAnsi="Arial" w:eastAsia="Calibri" w:cs="Arial"/>
        </w:rPr>
      </w:r>
      <w:r>
        <w:rPr>
          <w:rFonts w:ascii="Arial" w:hAnsi="Arial" w:eastAsia="Calibri" w:cs="Arial"/>
        </w:rPr>
      </w:r>
    </w:p>
    <w:p>
      <w:pPr>
        <w:pBdr/>
        <w:spacing w:after="120" w:before="120" w:line="240" w:lineRule="auto"/>
        <w:ind/>
        <w:jc w:val="both"/>
        <w:rPr>
          <w:rFonts w:ascii="Arial" w:hAnsi="Arial" w:eastAsia="Calibri" w:cs="Arial"/>
        </w:rPr>
      </w:pPr>
      <w:r>
        <w:rPr>
          <w:rFonts w:ascii="Arial" w:hAnsi="Arial" w:eastAsia="Calibri" w:cs="Arial"/>
        </w:rPr>
      </w:r>
      <w:r>
        <w:rPr>
          <w:rFonts w:ascii="Arial" w:hAnsi="Arial" w:eastAsia="Calibri" w:cs="Arial"/>
        </w:rPr>
      </w:r>
    </w:p>
    <w:tbl>
      <w:tblPr>
        <w:tblInd w:w="28" w:type="dxa"/>
        <w:tblW w:w="9498" w:type="dxa"/>
        <w:tblCellMar>
          <w:left w:w="28" w:type="dxa"/>
          <w:right w:w="28" w:type="dxa"/>
        </w:tblCellMar>
        <w:tblBorders/>
        <w:tblLayout w:type="fixed"/>
        <w:tblLook w:val="0000" w:firstRow="0" w:lastRow="0" w:firstColumn="0" w:lastColumn="0" w:noHBand="0" w:noVBand="0"/>
      </w:tblPr>
      <w:tblGrid>
        <w:gridCol w:w="4860"/>
        <w:gridCol w:w="102"/>
        <w:gridCol w:w="4536"/>
      </w:tblGrid>
      <w:tr>
        <w:trPr/>
        <w:tc>
          <w:tcPr>
            <w:tcBorders>
              <w:top w:val="none" w:color="000000" w:sz="4" w:space="0"/>
              <w:left w:val="none" w:color="000000" w:sz="4" w:space="0"/>
              <w:bottom w:val="none" w:color="000000" w:sz="4" w:space="0"/>
              <w:right w:val="none" w:color="000000" w:sz="4" w:space="0"/>
            </w:tcBorders>
            <w:tcW w:w="4860" w:type="dxa"/>
            <w:vAlign w:val="center"/>
            <w:textDirection w:val="lrTb"/>
            <w:noWrap w:val="false"/>
          </w:tcPr>
          <w:p>
            <w:pPr>
              <w:pStyle w:val="1023"/>
              <w:pBdr/>
              <w:spacing w:after="0" w:line="240" w:lineRule="auto"/>
              <w:ind/>
              <w:jc w:val="center"/>
              <w:outlineLvl w:val="0"/>
              <w:rPr>
                <w:b/>
              </w:rPr>
            </w:pPr>
            <w:r>
              <w:t xml:space="preserve">THE CONTRACTOR</w:t>
            </w:r>
            <w:r>
              <w:rPr>
                <w:b/>
              </w:rPr>
              <w:t xml:space="preserve">:</w:t>
            </w:r>
            <w:r>
              <w:rPr>
                <w:b/>
              </w:rPr>
            </w:r>
          </w:p>
          <w:p>
            <w:pPr>
              <w:pStyle w:val="1023"/>
              <w:pBdr/>
              <w:spacing w:after="0" w:line="240" w:lineRule="auto"/>
              <w:ind/>
              <w:jc w:val="center"/>
              <w:outlineLvl w:val="0"/>
              <w:rPr>
                <w:b/>
              </w:rPr>
            </w:pPr>
            <w:r>
              <w:rPr>
                <w:b/>
              </w:rPr>
            </w:r>
            <w:r>
              <w:rPr>
                <w:b/>
              </w:rPr>
            </w:r>
          </w:p>
          <w:p>
            <w:pPr>
              <w:pStyle w:val="1017"/>
              <w:pBdr/>
              <w:spacing w:after="200" w:line="276" w:lineRule="auto"/>
              <w:ind/>
              <w:jc w:val="center"/>
              <w:rPr/>
            </w:pPr>
            <w:r>
              <w:t xml:space="preserve">_________________________</w:t>
            </w:r>
            <w:r/>
          </w:p>
        </w:tc>
        <w:tc>
          <w:tcPr>
            <w:tcBorders>
              <w:top w:val="none" w:color="000000" w:sz="4" w:space="0"/>
              <w:left w:val="none" w:color="000000" w:sz="4" w:space="0"/>
              <w:bottom w:val="none" w:color="000000" w:sz="4" w:space="0"/>
              <w:right w:val="none" w:color="000000" w:sz="4" w:space="0"/>
            </w:tcBorders>
            <w:tcW w:w="102" w:type="dxa"/>
            <w:vAlign w:val="center"/>
            <w:textDirection w:val="lrTb"/>
            <w:noWrap w:val="false"/>
          </w:tcPr>
          <w:p>
            <w:pPr>
              <w:pBdr/>
              <w:spacing w:after="200" w:line="276" w:lineRule="auto"/>
              <w:ind w:firstLine="720"/>
              <w:jc w:val="center"/>
              <w:rPr>
                <w:rFonts w:ascii="Arial" w:hAnsi="Arial" w:eastAsia="Calibri" w:cs="Arial"/>
                <w:b/>
              </w:rPr>
            </w:pPr>
            <w:r>
              <w:rPr>
                <w:rFonts w:ascii="Arial" w:hAnsi="Arial" w:eastAsia="Calibri" w:cs="Arial"/>
                <w:b/>
              </w:rPr>
            </w:r>
            <w:r>
              <w:rPr>
                <w:rFonts w:ascii="Arial" w:hAnsi="Arial" w:eastAsia="Calibri" w:cs="Arial"/>
                <w:b/>
              </w:rPr>
            </w:r>
          </w:p>
        </w:tc>
        <w:tc>
          <w:tcPr>
            <w:tcBorders>
              <w:top w:val="none" w:color="000000" w:sz="4" w:space="0"/>
              <w:left w:val="none" w:color="000000" w:sz="4" w:space="0"/>
              <w:bottom w:val="none" w:color="000000" w:sz="4" w:space="0"/>
              <w:right w:val="none" w:color="000000" w:sz="4" w:space="0"/>
            </w:tcBorders>
            <w:tcW w:w="4536" w:type="dxa"/>
            <w:vAlign w:val="center"/>
            <w:textDirection w:val="lrTb"/>
            <w:noWrap w:val="false"/>
          </w:tcPr>
          <w:p>
            <w:pPr>
              <w:pStyle w:val="1017"/>
              <w:pBdr/>
              <w:spacing w:after="120" w:before="120" w:line="240" w:lineRule="auto"/>
              <w:ind/>
              <w:jc w:val="center"/>
              <w:rPr/>
            </w:pPr>
            <w:r>
              <w:t xml:space="preserve">THE CLIENT:</w:t>
            </w:r>
            <w:r/>
          </w:p>
          <w:p>
            <w:pPr>
              <w:pStyle w:val="1017"/>
              <w:pBdr/>
              <w:spacing w:after="120" w:before="120" w:line="240" w:lineRule="auto"/>
              <w:ind/>
              <w:jc w:val="center"/>
              <w:rPr/>
            </w:pPr>
            <w:r/>
            <w:r/>
          </w:p>
          <w:p>
            <w:pPr>
              <w:pStyle w:val="1017"/>
              <w:pBdr/>
              <w:spacing w:after="120" w:before="120" w:line="240" w:lineRule="auto"/>
              <w:ind/>
              <w:jc w:val="center"/>
              <w:rPr/>
            </w:pPr>
            <w:r>
              <w:t xml:space="preserve">__________________________</w:t>
            </w:r>
            <w:r/>
          </w:p>
        </w:tc>
      </w:tr>
      <w:tr>
        <w:trPr>
          <w:trHeight w:val="529"/>
        </w:trPr>
        <w:tc>
          <w:tcPr>
            <w:tcBorders>
              <w:top w:val="none" w:color="000000" w:sz="4" w:space="0"/>
              <w:left w:val="none" w:color="000000" w:sz="4" w:space="0"/>
              <w:bottom w:val="none" w:color="000000" w:sz="4" w:space="0"/>
              <w:right w:val="none" w:color="000000" w:sz="4" w:space="0"/>
            </w:tcBorders>
            <w:tcW w:w="4860" w:type="dxa"/>
            <w:textDirection w:val="lrTb"/>
            <w:noWrap w:val="false"/>
          </w:tcPr>
          <w:p>
            <w:pPr>
              <w:pStyle w:val="1017"/>
              <w:pBdr/>
              <w:spacing w:after="120" w:before="120" w:line="240" w:lineRule="auto"/>
              <w:ind/>
              <w:jc w:val="center"/>
              <w:rPr/>
            </w:pPr>
            <w:r/>
            <w:permStart w:edGrp="everyone" w:id="1454841586"/>
            <w:r>
              <w:t xml:space="preserve">  </w:t>
            </w:r>
            <w:r>
              <w:rPr>
                <w:szCs w:val="22"/>
                <w:lang w:val="sr-Cyrl-RS"/>
              </w:rPr>
              <w:t xml:space="preserve">${</w:t>
            </w:r>
            <w:r>
              <w:rPr>
                <w:szCs w:val="22"/>
                <w:lang w:val="sr-Cyrl-RS"/>
              </w:rPr>
              <w:t xml:space="preserve">potpisnik_komitent_sve</w:t>
            </w:r>
            <w:r>
              <w:rPr>
                <w:szCs w:val="22"/>
                <w:lang w:val="sr-Cyrl-RS"/>
              </w:rPr>
              <w:t xml:space="preserve">}</w:t>
            </w:r>
            <w:r/>
          </w:p>
        </w:tc>
        <w:tc>
          <w:tcPr>
            <w:tcBorders>
              <w:top w:val="none" w:color="000000" w:sz="4" w:space="0"/>
              <w:left w:val="none" w:color="000000" w:sz="4" w:space="0"/>
              <w:bottom w:val="none" w:color="000000" w:sz="4" w:space="0"/>
              <w:right w:val="none" w:color="000000" w:sz="4" w:space="0"/>
            </w:tcBorders>
            <w:tcW w:w="102" w:type="dxa"/>
            <w:textDirection w:val="lrTb"/>
            <w:noWrap w:val="false"/>
          </w:tcPr>
          <w:p>
            <w:pPr>
              <w:pBdr/>
              <w:spacing w:after="200" w:line="276" w:lineRule="auto"/>
              <w:ind w:firstLine="720"/>
              <w:jc w:val="both"/>
              <w:rPr>
                <w:rFonts w:ascii="Arial" w:hAnsi="Arial" w:eastAsia="Calibri" w:cs="Arial"/>
              </w:rPr>
            </w:pPr>
            <w:r>
              <w:rPr>
                <w:rFonts w:ascii="Arial" w:hAnsi="Arial" w:eastAsia="Calibri" w:cs="Arial"/>
              </w:rPr>
            </w:r>
            <w:r>
              <w:rPr>
                <w:rFonts w:ascii="Arial" w:hAnsi="Arial" w:eastAsia="Calibri" w:cs="Arial"/>
              </w:rPr>
            </w:r>
          </w:p>
        </w:tc>
        <w:tc>
          <w:tcPr>
            <w:tcBorders>
              <w:top w:val="none" w:color="000000" w:sz="4" w:space="0"/>
              <w:left w:val="none" w:color="000000" w:sz="4" w:space="0"/>
              <w:bottom w:val="none" w:color="000000" w:sz="4" w:space="0"/>
              <w:right w:val="none" w:color="000000" w:sz="4" w:space="0"/>
            </w:tcBorders>
            <w:tcW w:w="4536" w:type="dxa"/>
            <w:textDirection w:val="lrTb"/>
            <w:noWrap w:val="false"/>
          </w:tcPr>
          <w:p>
            <w:pPr>
              <w:pStyle w:val="1017"/>
              <w:pBdr/>
              <w:spacing w:after="120" w:before="120" w:line="240" w:lineRule="auto"/>
              <w:ind/>
              <w:jc w:val="both"/>
              <w:rPr/>
            </w:pPr>
            <w:r>
              <w:t xml:space="preserve">                   </w:t>
            </w:r>
            <w:r>
              <w:rPr>
                <w:szCs w:val="22"/>
                <w:lang w:val="sr-Cyrl-RS"/>
              </w:rPr>
              <w:t xml:space="preserve">${</w:t>
            </w:r>
            <w:r>
              <w:rPr>
                <w:szCs w:val="22"/>
                <w:lang w:val="sr-Cyrl-RS"/>
              </w:rPr>
              <w:t xml:space="preserve">potpisnik_nis_sve</w:t>
            </w:r>
            <w:r>
              <w:rPr>
                <w:szCs w:val="22"/>
                <w:lang w:val="sr-Cyrl-RS"/>
              </w:rPr>
              <w:t xml:space="preserve">}</w:t>
            </w:r>
            <w:permEnd w:id="1454841586"/>
            <w:r/>
            <w:r/>
          </w:p>
        </w:tc>
      </w:tr>
    </w:tbl>
    <w:p>
      <w:pPr>
        <w:pBdr/>
        <w:spacing/>
        <w:ind/>
        <w:rPr/>
      </w:pPr>
      <w:r/>
      <w:r/>
    </w:p>
    <w:sectPr>
      <w:headerReference w:type="default" r:id="rId9"/>
      <w:headerReference w:type="first" r:id="rId10"/>
      <w:footerReference w:type="default" r:id="rId11"/>
      <w:footerReference w:type="first" r:id="rId12"/>
      <w:footnotePr/>
      <w:endnotePr/>
      <w:type w:val="nextPage"/>
      <w:pgSz w:h="16839" w:orient="portrait" w:w="11907"/>
      <w:pgMar w:top="1800" w:right="873" w:bottom="1260" w:left="1418" w:header="720" w:footer="720" w:gutter="0"/>
      <w:cols w:num="1" w:sep="0" w:space="720"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Mincho">
    <w:panose1 w:val="02020603050405090304"/>
  </w:font>
  <w:font w:name="Times New Roman">
    <w:panose1 w:val="02020603050405020304"/>
  </w:font>
  <w:font w:name="Calibri">
    <w:panose1 w:val="020F0502020204030204"/>
  </w:font>
  <w:font w:name="Segoe UI">
    <w:panose1 w:val="020B0502040504020204"/>
  </w:font>
  <w:font w:name="Arial">
    <w:panose1 w:val="020B060402020202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1733537762"/>
      <w:docPartObj>
        <w:docPartGallery w:val="Page Numbers (Bottom of Page)"/>
        <w:docPartUnique w:val="true"/>
      </w:docPartObj>
      <w:rPr/>
    </w:sdtPr>
    <w:sdtContent>
      <w:p>
        <w:pPr>
          <w:pStyle w:val="1001"/>
          <w:pBdr/>
          <w:spacing/>
          <w:ind/>
          <w:jc w:val="right"/>
          <w:rPr/>
        </w:pPr>
        <w:r>
          <w:fldChar w:fldCharType="begin"/>
        </w:r>
        <w:r>
          <w:instrText xml:space="preserve"> PAGE   \* MERGEFORMAT </w:instrText>
        </w:r>
        <w:r>
          <w:fldChar w:fldCharType="separate"/>
        </w:r>
        <w:r>
          <w:t xml:space="preserve">13</w:t>
        </w:r>
        <w:r>
          <w:fldChar w:fldCharType="end"/>
        </w:r>
        <w:r/>
      </w:p>
    </w:sdtContent>
  </w:sdt>
  <w:p>
    <w:pPr>
      <w:pStyle w:val="1028"/>
      <w:pBdr/>
      <w:spacing/>
      <w:ind/>
      <w:rPr>
        <w:rFonts w:cs="Arial"/>
      </w:rPr>
    </w:pPr>
    <w:r>
      <w:t xml:space="preserve">TFU.NIS.457</w:t>
    </w:r>
    <w:r>
      <w:rPr>
        <w:rFonts w:cs="Arial"/>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838160502"/>
      <w:docPartObj>
        <w:docPartGallery w:val="Page Numbers (Bottom of Page)"/>
        <w:docPartUnique w:val="true"/>
      </w:docPartObj>
      <w:rPr/>
    </w:sdtPr>
    <w:sdtContent>
      <w:p>
        <w:pPr>
          <w:pStyle w:val="1001"/>
          <w:pBdr/>
          <w:spacing/>
          <w:ind/>
          <w:jc w:val="right"/>
          <w:rPr/>
        </w:pPr>
        <w:r>
          <w:fldChar w:fldCharType="begin"/>
        </w:r>
        <w:r>
          <w:instrText xml:space="preserve"> PAGE   \* MERGEFORMAT </w:instrText>
        </w:r>
        <w:r>
          <w:fldChar w:fldCharType="separate"/>
        </w:r>
        <w:r>
          <w:t xml:space="preserve">1</w:t>
        </w:r>
        <w:r>
          <w:fldChar w:fldCharType="end"/>
        </w:r>
        <w:r/>
      </w:p>
    </w:sdtContent>
  </w:sdt>
  <w:p>
    <w:pPr>
      <w:pStyle w:val="1028"/>
      <w:pBdr/>
      <w:spacing/>
      <w:ind/>
      <w:rPr>
        <w:rFonts w:cs="Arial"/>
      </w:rPr>
    </w:pPr>
    <w:r>
      <w:t xml:space="preserve">TFU.NIS.457</w:t>
    </w:r>
    <w:r>
      <w:rPr>
        <w:rFonts w:cs="Arial"/>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99"/>
      <w:pBdr/>
      <w:spacing/>
      <w:ind/>
      <w:jc w:val="right"/>
      <w:rPr/>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29"/>
      <w:pBdr/>
      <w:spacing/>
      <w:ind/>
      <w:jc w:val="center"/>
      <w:rPr/>
    </w:pPr>
    <w:r>
      <w:rPr>
        <w:lang w:val="sr-Latn-RS" w:eastAsia="sr-Latn-RS"/>
      </w:rP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1" locked="0" layoutInCell="1" allowOverlap="1">
              <wp:simplePos x="0" y="0"/>
              <wp:positionH relativeFrom="margin">
                <wp:posOffset>0</wp:posOffset>
              </wp:positionH>
              <wp:positionV relativeFrom="page">
                <wp:posOffset>457200</wp:posOffset>
              </wp:positionV>
              <wp:extent cx="1234800" cy="360000"/>
              <wp:effectExtent l="0" t="0" r="3810" b="2540"/>
              <wp:wrapNone/>
              <wp:docPr id="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r/>
                    </pic:nvPicPr>
                    <pic:blipFill>
                      <a:blip r:embed="rId1"/>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00pt;mso-position-horizontal:absolute;mso-position-vertical-relative:page;margin-top:36.00pt;mso-position-vertical:absolute;width:97.23pt;height:28.35pt;mso-wrap-distance-left:9.00pt;mso-wrap-distance-top:0.00pt;mso-wrap-distance-right:9.00pt;mso-wrap-distance-bottom:0.00pt;z-index:1;" stroked="f">
              <v:imagedata r:id="rId1" o:title=""/>
              <o:lock v:ext="edit" rotation="t"/>
            </v:shape>
          </w:pict>
        </mc:Fallback>
      </mc:AlternateContent>
    </w:r>
    <w:r/>
  </w:p>
  <w:tbl>
    <w:tblPr>
      <w:jc w:val="center"/>
      <w:tblW w:w="9923" w:type="dxa"/>
      <w:tblBorders/>
      <w:tblLook w:val="04A0" w:firstRow="1" w:lastRow="0" w:firstColumn="1" w:lastColumn="0" w:noHBand="0" w:noVBand="1"/>
    </w:tblPr>
    <w:tblGrid>
      <w:gridCol w:w="1842"/>
      <w:gridCol w:w="5814"/>
      <w:gridCol w:w="2267"/>
    </w:tblGrid>
    <w:tr>
      <w:trPr>
        <w:jc w:val="center"/>
        <w:trHeight w:val="419"/>
      </w:trPr>
      <w:tc>
        <w:tcPr>
          <w:tcBorders/>
          <w:tcW w:w="1842" w:type="dxa"/>
          <w:vAlign w:val="center"/>
          <w:textDirection w:val="lrTb"/>
          <w:noWrap w:val="false"/>
        </w:tcPr>
        <w:p>
          <w:pPr>
            <w:pStyle w:val="999"/>
            <w:pBdr/>
            <w:spacing/>
            <w:ind w:left="129"/>
            <w:jc w:val="center"/>
            <w:rPr>
              <w:rFonts w:ascii="Arial" w:hAnsi="Arial" w:cs="Arial"/>
              <w:sz w:val="20"/>
            </w:rPr>
          </w:pPr>
          <w:r>
            <w:rPr>
              <w:rFonts w:ascii="Arial" w:hAnsi="Arial" w:cs="Arial"/>
              <w:sz w:val="20"/>
            </w:rPr>
          </w:r>
          <w:r>
            <w:rPr>
              <w:rFonts w:ascii="Arial" w:hAnsi="Arial" w:cs="Arial"/>
              <w:sz w:val="20"/>
            </w:rPr>
          </w:r>
        </w:p>
      </w:tc>
      <w:tc>
        <w:tcPr>
          <w:tcBorders/>
          <w:tcW w:w="5814" w:type="dxa"/>
          <w:vAlign w:val="center"/>
          <w:textDirection w:val="lrTb"/>
          <w:noWrap w:val="false"/>
        </w:tcPr>
        <w:p>
          <w:pPr>
            <w:pStyle w:val="999"/>
            <w:pBdr/>
            <w:spacing/>
            <w:ind w:left="129"/>
            <w:rPr>
              <w:rFonts w:ascii="Arial" w:hAnsi="Arial" w:cs="Arial"/>
              <w:sz w:val="20"/>
            </w:rPr>
          </w:pPr>
          <w:r>
            <w:rPr>
              <w:rFonts w:ascii="Arial" w:hAnsi="Arial" w:cs="Arial"/>
              <w:sz w:val="20"/>
            </w:rPr>
          </w:r>
          <w:r>
            <w:rPr>
              <w:rFonts w:ascii="Arial" w:hAnsi="Arial" w:cs="Arial"/>
              <w:sz w:val="20"/>
            </w:rPr>
          </w:r>
        </w:p>
      </w:tc>
      <w:tc>
        <w:tcPr>
          <w:tcBorders/>
          <w:tcW w:w="2267" w:type="dxa"/>
          <w:vAlign w:val="center"/>
          <w:textDirection w:val="lrTb"/>
          <w:noWrap w:val="false"/>
        </w:tcPr>
        <w:p>
          <w:pPr>
            <w:pStyle w:val="1030"/>
            <w:pBdr/>
            <w:spacing/>
            <w:ind w:left="129"/>
            <w:jc w:val="center"/>
            <w:rPr/>
          </w:pPr>
          <w:r>
            <w:t xml:space="preserve">Standard Form</w:t>
          </w:r>
          <w:r/>
        </w:p>
      </w:tc>
    </w:tr>
  </w:tbl>
  <w:p>
    <w:pPr>
      <w:pStyle w:val="999"/>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559713A"/>
    <w:lvl w:ilvl="0">
      <w:isLgl w:val="false"/>
      <w:lvlJc w:val="left"/>
      <w:lvlText w:val="%1)"/>
      <w:numFmt w:val="decimal"/>
      <w:pPr>
        <w:pBdr/>
        <w:spacing/>
        <w:ind w:hanging="360" w:left="720"/>
      </w:pPr>
      <w:rPr>
        <w:b w:val="0"/>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edit="comments" w:enforcement="1" w:cryptProviderType="rsaAES" w:cryptAlgorithmClass="hash" w:cryptAlgorithmType="typeAny" w:cryptAlgorithmSid="14" w:cryptSpinCount="100000" w:hash="FC/cVHNdfcwlnHHRClVGRBg3nVokhhhO5WkLi1lvAm4bcSl/KjdOSz3RddHhnvImm8p3rej8qhy9oDhpsfufgA==" w:salt="TmNkbOG6FCEB8x6KKc4lGw=="/>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lang w:val="en-GB" w:eastAsia="en-GB" w:bidi="ar-SA"/>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3">
    <w:name w:val="Table Grid Light"/>
    <w:basedOn w:val="829"/>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829"/>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829"/>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829"/>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829"/>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829"/>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829"/>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82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82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82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82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82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82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82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82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82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82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82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82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829"/>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37ec9"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829"/>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829"/>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829"/>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829"/>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829"/>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82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82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82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eebf6" w:themeFill="accent5" w:themeFillTint="34"/>
    </w:tblPr>
    <w:tcPr>
      <w:tcBorders/>
    </w:tcPr>
    <w:tblStylePr w:type="band1Horz">
      <w:pPr>
        <w:pBdr/>
        <w:spacing/>
        <w:ind/>
      </w:pPr>
      <w:tblPr>
        <w:tblBorders/>
      </w:tblPr>
      <w:tcPr>
        <w:shd w:val="clear" w:color="ffffff" w:themeColor="accent5" w:themeTint="75" w:fill="b4d1ec" w:themeFill="accent5" w:themeFillTint="75"/>
        <w:tcBorders/>
      </w:tcPr>
    </w:tblStylePr>
    <w:tblStylePr w:type="band1Vert">
      <w:pPr>
        <w:pBdr/>
        <w:spacing/>
        <w:ind/>
      </w:pPr>
      <w:tblPr>
        <w:tblBorders/>
      </w:tblPr>
      <w:tcPr>
        <w:shd w:val="clear" w:color="ffffff" w:themeColor="accent5" w:themeTint="75"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5b9bd5" w:themeFill="accent5"/>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rFonts w:ascii="Arial" w:hAnsi="Arial"/>
        <w:b/>
        <w:color w:val="ffffff"/>
        <w:sz w:val="22"/>
      </w:rPr>
      <w:pPr>
        <w:pBdr/>
        <w:spacing/>
        <w:ind/>
      </w:pPr>
      <w:tblPr>
        <w:tblBorders/>
      </w:tblPr>
      <w:tcPr>
        <w:shd w:val="clear" w:color="ffffff" w:themeColor="accent5" w:fill="5b9bd5" w:themeFill="accent5"/>
        <w:tcBorders/>
      </w:tcPr>
    </w:tblStylePr>
    <w:tblStylePr w:type="lastRow">
      <w:rPr>
        <w:rFonts w:ascii="Arial" w:hAnsi="Arial"/>
        <w:b/>
        <w:color w:val="ffffff"/>
        <w:sz w:val="22"/>
      </w:rPr>
      <w:pPr>
        <w:pBdr/>
        <w:spacing/>
        <w:ind/>
      </w:pPr>
      <w:tblPr>
        <w:tblBorders/>
      </w:tblPr>
      <w:tcPr>
        <w:shd w:val="clear" w:color="ffffff" w:themeColor="accent5"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82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5">
    <w:name w:val="Grid Table 6 Colorful - Accent 1"/>
    <w:basedOn w:val="829"/>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760ab" w:themeColor="accent1" w:themeTint="80" w:themeShade="95"/>
      </w:rPr>
      <w:pPr>
        <w:pBdr/>
        <w:spacing/>
        <w:ind/>
      </w:pPr>
      <w:tblPr>
        <w:tblBorders/>
      </w:tblPr>
      <w:tcPr>
        <w:tcBorders/>
      </w:tcPr>
    </w:tblStylePr>
    <w:tblStylePr w:type="firstRow">
      <w:rPr>
        <w:b/>
        <w:color w:val="3760ab" w:themeColor="accent1" w:themeTint="80" w:themeShade="95"/>
      </w:rPr>
      <w:pPr>
        <w:pBdr/>
        <w:spacing/>
        <w:ind/>
      </w:pPr>
      <w:tblPr>
        <w:tblBorders/>
      </w:tblPr>
      <w:tcPr>
        <w:tcBorders>
          <w:bottom w:val="single" w:color="000000" w:themeColor="accent1" w:themeTint="80" w:sz="12" w:space="0"/>
        </w:tcBorders>
      </w:tcPr>
    </w:tblStylePr>
    <w:tblStylePr w:type="lastCol">
      <w:rPr>
        <w:b/>
        <w:color w:val="3760ab" w:themeColor="accent1" w:themeTint="80" w:themeShade="95"/>
      </w:rPr>
      <w:pPr>
        <w:pBdr/>
        <w:spacing/>
        <w:ind/>
      </w:pPr>
      <w:tblPr>
        <w:tblBorders/>
      </w:tblPr>
      <w:tcPr>
        <w:tcBorders/>
      </w:tcPr>
    </w:tblStylePr>
    <w:tblStylePr w:type="lastRow">
      <w:rPr>
        <w:b/>
        <w:color w:val="3760ab"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82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829"/>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82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829"/>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829"/>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2">
    <w:name w:val="Grid Table 7 Colorful - Accent 1"/>
    <w:basedOn w:val="829"/>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760ab"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3760ab"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760ab"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760ab"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760ab"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760ab"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829"/>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829"/>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829"/>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829"/>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45b8d"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45b8d"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45b8d"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45b8d"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829"/>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165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82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82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82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82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82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82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829"/>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829"/>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829"/>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829"/>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829"/>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829"/>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829"/>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82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829"/>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82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829"/>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cc3e6"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829"/>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829"/>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829"/>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829"/>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829"/>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829"/>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829"/>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
    <w:name w:val="List Table 5 Dark - Accent 1"/>
    <w:basedOn w:val="829"/>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cPr>
      <w:tcBorders/>
    </w:tcPr>
    <w:tblStylePr w:type="band1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829"/>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829"/>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829"/>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829"/>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3e6" w:themeFill="accent5" w:themeFillTint="9A"/>
    </w:tblPr>
    <w:tcPr>
      <w:tcBorders/>
    </w:tcPr>
    <w:tblStylePr w:type="band1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cc3e6"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829"/>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4">
    <w:name w:val="List Table 6 Colorful - Accent 1"/>
    <w:basedOn w:val="829"/>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829"/>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829"/>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829"/>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829"/>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d74b4" w:themeColor="accent5" w:themeTint="9A" w:themeShade="95"/>
      </w:rPr>
      <w:pPr>
        <w:pBdr/>
        <w:spacing/>
        <w:ind/>
      </w:pPr>
      <w:tblPr>
        <w:tblBorders/>
      </w:tblPr>
      <w:tcPr>
        <w:tcBorders/>
      </w:tcPr>
    </w:tblStylePr>
    <w:tblStylePr w:type="firstRow">
      <w:rPr>
        <w:b/>
        <w:color w:val="2d74b4" w:themeColor="accent5" w:themeTint="9A" w:themeShade="95"/>
      </w:rPr>
      <w:pPr>
        <w:pBdr/>
        <w:spacing/>
        <w:ind/>
      </w:pPr>
      <w:tblPr>
        <w:tblBorders/>
      </w:tblPr>
      <w:tcPr>
        <w:tcBorders>
          <w:bottom w:val="single" w:color="000000" w:themeColor="accent5" w:themeTint="9A" w:sz="4" w:space="0"/>
        </w:tcBorders>
      </w:tcPr>
    </w:tblStylePr>
    <w:tblStylePr w:type="lastCol">
      <w:rPr>
        <w:b/>
        <w:color w:val="2d74b4" w:themeColor="accent5" w:themeTint="9A" w:themeShade="95"/>
      </w:rPr>
      <w:pPr>
        <w:pBdr/>
        <w:spacing/>
        <w:ind/>
      </w:pPr>
      <w:tblPr>
        <w:tblBorders/>
      </w:tblPr>
      <w:tcPr>
        <w:tcBorders/>
      </w:tcPr>
    </w:tblStylePr>
    <w:tblStylePr w:type="lastRow">
      <w:rPr>
        <w:b/>
        <w:color w:val="2d74b4"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829"/>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
    <w:name w:val="List Table 7 Colorful - Accent 1"/>
    <w:basedOn w:val="829"/>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54275"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54275"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54275"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54275"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54275" w:themeColor="accent1" w:themeShade="95"/>
        <w:sz w:val="22"/>
      </w:rPr>
      <w:pPr>
        <w:pBdr/>
        <w:spacing/>
        <w:ind/>
      </w:pPr>
      <w:tblPr>
        <w:tblBorders/>
      </w:tblPr>
      <w:tcPr>
        <w:tcBorders/>
      </w:tcPr>
    </w:tblStylePr>
  </w:style>
  <w:style w:type="table" w:styleId="112">
    <w:name w:val="List Table 7 Colorful - Accent 2"/>
    <w:basedOn w:val="829"/>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113">
    <w:name w:val="List Table 7 Colorful - Accent 3"/>
    <w:basedOn w:val="829"/>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114">
    <w:name w:val="List Table 7 Colorful - Accent 4"/>
    <w:basedOn w:val="829"/>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15">
    <w:name w:val="List Table 7 Colorful - Accent 5"/>
    <w:basedOn w:val="829"/>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d74b4"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2d74b4"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d74b4"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2d74b4"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2d74b4"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2d74b4"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d74b4" w:themeColor="accent5" w:themeTint="9A" w:themeShade="95"/>
        <w:sz w:val="22"/>
      </w:rPr>
      <w:pPr>
        <w:pBdr/>
        <w:spacing/>
        <w:ind/>
      </w:pPr>
      <w:tblPr>
        <w:tblBorders/>
      </w:tblPr>
      <w:tcPr>
        <w:tcBorders/>
      </w:tcPr>
    </w:tblStylePr>
  </w:style>
  <w:style w:type="table" w:styleId="116">
    <w:name w:val="List Table 7 Colorful - Accent 6"/>
    <w:basedOn w:val="829"/>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e92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paragraph" w:styleId="818" w:default="1">
    <w:name w:val="Normal"/>
    <w:qFormat/>
    <w:pPr>
      <w:pBdr/>
      <w:spacing/>
      <w:ind/>
    </w:pPr>
  </w:style>
  <w:style w:type="paragraph" w:styleId="819">
    <w:name w:val="Heading 1"/>
    <w:basedOn w:val="818"/>
    <w:next w:val="818"/>
    <w:link w:val="956"/>
    <w:uiPriority w:val="9"/>
    <w:qFormat/>
    <w:pPr>
      <w:keepNext w:val="true"/>
      <w:keepLines w:val="true"/>
      <w:pBdr/>
      <w:spacing w:after="80" w:before="360"/>
      <w:ind/>
      <w:outlineLvl w:val="0"/>
    </w:pPr>
    <w:rPr>
      <w:rFonts w:ascii="Arial" w:hAnsi="Arial" w:eastAsia="Arial" w:cs="Arial"/>
      <w:color w:val="2f5496" w:themeColor="accent1" w:themeShade="BF"/>
      <w:sz w:val="40"/>
      <w:szCs w:val="40"/>
    </w:rPr>
  </w:style>
  <w:style w:type="paragraph" w:styleId="820">
    <w:name w:val="Heading 2"/>
    <w:basedOn w:val="818"/>
    <w:next w:val="818"/>
    <w:link w:val="957"/>
    <w:uiPriority w:val="9"/>
    <w:unhideWhenUsed/>
    <w:qFormat/>
    <w:pPr>
      <w:keepNext w:val="true"/>
      <w:keepLines w:val="true"/>
      <w:pBdr/>
      <w:spacing w:after="80" w:before="160"/>
      <w:ind/>
      <w:outlineLvl w:val="1"/>
    </w:pPr>
    <w:rPr>
      <w:rFonts w:ascii="Arial" w:hAnsi="Arial" w:eastAsia="Arial" w:cs="Arial"/>
      <w:color w:val="2f5496" w:themeColor="accent1" w:themeShade="BF"/>
      <w:sz w:val="32"/>
      <w:szCs w:val="32"/>
    </w:rPr>
  </w:style>
  <w:style w:type="paragraph" w:styleId="821">
    <w:name w:val="Heading 3"/>
    <w:basedOn w:val="818"/>
    <w:next w:val="818"/>
    <w:link w:val="958"/>
    <w:uiPriority w:val="9"/>
    <w:unhideWhenUsed/>
    <w:qFormat/>
    <w:pPr>
      <w:keepNext w:val="true"/>
      <w:keepLines w:val="true"/>
      <w:pBdr/>
      <w:spacing w:after="80" w:before="160"/>
      <w:ind/>
      <w:outlineLvl w:val="2"/>
    </w:pPr>
    <w:rPr>
      <w:rFonts w:ascii="Arial" w:hAnsi="Arial" w:eastAsia="Arial" w:cs="Arial"/>
      <w:color w:val="2f5496" w:themeColor="accent1" w:themeShade="BF"/>
      <w:sz w:val="28"/>
      <w:szCs w:val="28"/>
    </w:rPr>
  </w:style>
  <w:style w:type="paragraph" w:styleId="822">
    <w:name w:val="Heading 4"/>
    <w:basedOn w:val="818"/>
    <w:next w:val="818"/>
    <w:link w:val="959"/>
    <w:uiPriority w:val="9"/>
    <w:unhideWhenUsed/>
    <w:qFormat/>
    <w:pPr>
      <w:keepNext w:val="true"/>
      <w:keepLines w:val="true"/>
      <w:pBdr/>
      <w:spacing w:after="40" w:before="80"/>
      <w:ind/>
      <w:outlineLvl w:val="3"/>
    </w:pPr>
    <w:rPr>
      <w:rFonts w:ascii="Arial" w:hAnsi="Arial" w:eastAsia="Arial" w:cs="Arial"/>
      <w:i/>
      <w:iCs/>
      <w:color w:val="2f5496" w:themeColor="accent1" w:themeShade="BF"/>
    </w:rPr>
  </w:style>
  <w:style w:type="paragraph" w:styleId="823">
    <w:name w:val="Heading 5"/>
    <w:basedOn w:val="818"/>
    <w:next w:val="818"/>
    <w:link w:val="960"/>
    <w:uiPriority w:val="9"/>
    <w:unhideWhenUsed/>
    <w:qFormat/>
    <w:pPr>
      <w:keepNext w:val="true"/>
      <w:keepLines w:val="true"/>
      <w:pBdr/>
      <w:spacing w:after="40" w:before="80"/>
      <w:ind/>
      <w:outlineLvl w:val="4"/>
    </w:pPr>
    <w:rPr>
      <w:rFonts w:ascii="Arial" w:hAnsi="Arial" w:eastAsia="Arial" w:cs="Arial"/>
      <w:color w:val="2f5496" w:themeColor="accent1" w:themeShade="BF"/>
    </w:rPr>
  </w:style>
  <w:style w:type="paragraph" w:styleId="824">
    <w:name w:val="Heading 6"/>
    <w:basedOn w:val="818"/>
    <w:next w:val="818"/>
    <w:link w:val="961"/>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825">
    <w:name w:val="Heading 7"/>
    <w:basedOn w:val="818"/>
    <w:next w:val="818"/>
    <w:link w:val="962"/>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26">
    <w:name w:val="Heading 8"/>
    <w:basedOn w:val="818"/>
    <w:next w:val="818"/>
    <w:link w:val="963"/>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27">
    <w:name w:val="Heading 9"/>
    <w:basedOn w:val="818"/>
    <w:next w:val="818"/>
    <w:link w:val="964"/>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28" w:default="1">
    <w:name w:val="Default Paragraph Font"/>
    <w:uiPriority w:val="1"/>
    <w:semiHidden/>
    <w:unhideWhenUsed/>
    <w:pPr>
      <w:pBdr/>
      <w:spacing/>
      <w:ind/>
    </w:pPr>
  </w:style>
  <w:style w:type="table" w:styleId="829"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30" w:default="1">
    <w:name w:val="No List"/>
    <w:uiPriority w:val="99"/>
    <w:semiHidden/>
    <w:unhideWhenUsed/>
    <w:pPr>
      <w:pBdr/>
      <w:spacing/>
      <w:ind/>
    </w:pPr>
  </w:style>
  <w:style w:type="table" w:styleId="831">
    <w:name w:val="Grid Table Light"/>
    <w:basedOn w:val="829"/>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Plain Table 1"/>
    <w:basedOn w:val="829"/>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Plain Table 2"/>
    <w:basedOn w:val="829"/>
    <w:uiPriority w:val="59"/>
    <w:pPr>
      <w:pBdr/>
      <w:spacing w:after="0" w:line="240" w:lineRule="auto"/>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Plain Table 3"/>
    <w:basedOn w:val="829"/>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Plain Table 4"/>
    <w:basedOn w:val="829"/>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Plain Table 5"/>
    <w:basedOn w:val="829"/>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Grid Table 1 Light"/>
    <w:basedOn w:val="829"/>
    <w:uiPriority w:val="99"/>
    <w:pPr>
      <w:pBdr/>
      <w:spacing w:after="0" w:line="240" w:lineRule="auto"/>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Grid Table 1 Light Accent 1"/>
    <w:basedOn w:val="829"/>
    <w:uiPriority w:val="99"/>
    <w:pPr>
      <w:pBdr/>
      <w:spacing w:after="0" w:line="240" w:lineRule="auto"/>
      <w:ind/>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Grid Table 1 Light Accent 2"/>
    <w:basedOn w:val="829"/>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Grid Table 1 Light Accent 3"/>
    <w:basedOn w:val="829"/>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Grid Table 1 Light Accent 4"/>
    <w:basedOn w:val="829"/>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Grid Table 1 Light Accent 5"/>
    <w:basedOn w:val="829"/>
    <w:uiPriority w:val="99"/>
    <w:pPr>
      <w:pBdr/>
      <w:spacing w:after="0" w:line="240" w:lineRule="auto"/>
      <w:ind/>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Grid Table 1 Light Accent 6"/>
    <w:basedOn w:val="829"/>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Grid Table 2"/>
    <w:basedOn w:val="829"/>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Grid Table 2 Accent 1"/>
    <w:basedOn w:val="829"/>
    <w:uiPriority w:val="99"/>
    <w:pPr>
      <w:pBdr/>
      <w:spacing w:after="0" w:line="240" w:lineRule="auto"/>
      <w:ind/>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cPr>
      <w:tcBorders/>
    </w:tcPr>
    <w:tblStylePr w:type="band1Horz">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1Vert">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37dc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37dc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Grid Table 2 Accent 2"/>
    <w:basedOn w:val="829"/>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Grid Table 2 Accent 3"/>
    <w:basedOn w:val="829"/>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Grid Table 2 Accent 4"/>
    <w:basedOn w:val="829"/>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Grid Table 2 Accent 5"/>
    <w:basedOn w:val="829"/>
    <w:uiPriority w:val="99"/>
    <w:pPr>
      <w:pBdr/>
      <w:spacing w:after="0" w:line="240" w:lineRule="auto"/>
      <w:ind/>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b9bd5"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b9bd5"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name w:val="Grid Table 2 Accent 6"/>
    <w:basedOn w:val="829"/>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Grid Table 3"/>
    <w:basedOn w:val="829"/>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Grid Table 3 Accent 1"/>
    <w:basedOn w:val="829"/>
    <w:uiPriority w:val="99"/>
    <w:pPr>
      <w:pBdr/>
      <w:spacing w:after="0" w:line="240" w:lineRule="auto"/>
      <w:ind/>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cPr>
      <w:tcBorders/>
    </w:tcPr>
    <w:tblStylePr w:type="band1Horz">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1Vert">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Grid Table 3 Accent 2"/>
    <w:basedOn w:val="829"/>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Grid Table 3 Accent 3"/>
    <w:basedOn w:val="829"/>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Grid Table 3 Accent 4"/>
    <w:basedOn w:val="829"/>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Grid Table 3 Accent 5"/>
    <w:basedOn w:val="829"/>
    <w:uiPriority w:val="99"/>
    <w:pPr>
      <w:pBdr/>
      <w:spacing w:after="0" w:line="240" w:lineRule="auto"/>
      <w:ind/>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Grid Table 3 Accent 6"/>
    <w:basedOn w:val="829"/>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Grid Table 4"/>
    <w:basedOn w:val="829"/>
    <w:uiPriority w:val="59"/>
    <w:pPr>
      <w:pBdr/>
      <w:spacing w:after="0" w:line="240" w:lineRule="auto"/>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Grid Table 4 Accent 1"/>
    <w:basedOn w:val="829"/>
    <w:uiPriority w:val="59"/>
    <w:pPr>
      <w:pBdr/>
      <w:spacing w:after="0" w:line="240" w:lineRule="auto"/>
      <w:ind/>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dae3f3"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dae3f3"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37dc8" w:themeColor="accent1" w:themeTint="EA" w:fill="537dc8" w:themeFill="accent1" w:themeFillTint="EA"/>
        <w:tcBorders>
          <w:top w:val="single" w:color="537dc8" w:themeColor="accent1" w:themeTint="EA" w:sz="4" w:space="0"/>
          <w:left w:val="single" w:color="537dc8" w:themeColor="accent1" w:themeTint="EA" w:sz="4" w:space="0"/>
          <w:bottom w:val="single" w:color="537dc8" w:themeColor="accent1" w:themeTint="EA" w:sz="4" w:space="0"/>
          <w:right w:val="single" w:color="537dc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37dc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Grid Table 4 Accent 2"/>
    <w:basedOn w:val="829"/>
    <w:uiPriority w:val="5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Grid Table 4 Accent 3"/>
    <w:basedOn w:val="829"/>
    <w:uiPriority w:val="5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Grid Table 4 Accent 4"/>
    <w:basedOn w:val="829"/>
    <w:uiPriority w:val="5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Grid Table 4 Accent 5"/>
    <w:basedOn w:val="829"/>
    <w:uiPriority w:val="59"/>
    <w:pPr>
      <w:pBdr/>
      <w:spacing w:after="0" w:line="240" w:lineRule="auto"/>
      <w:ind/>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op w:val="single" w:color="5b9bd5" w:themeColor="accent5" w:sz="4" w:space="0"/>
          <w:left w:val="single" w:color="5b9bd5" w:themeColor="accent5" w:sz="4" w:space="0"/>
          <w:bottom w:val="single" w:color="5b9bd5" w:themeColor="accent5" w:sz="4" w:space="0"/>
          <w:right w:val="single" w:color="5b9bd5"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Grid Table 4 Accent 6"/>
    <w:basedOn w:val="829"/>
    <w:uiPriority w:val="5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Grid Table 5 Dark"/>
    <w:basedOn w:val="829"/>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customStyle="1">
    <w:name w:val="Grid Table 5 Dark- Accent 1"/>
    <w:basedOn w:val="829"/>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1" w:themeTint="34" w:fill="d8e2f3" w:themeFill="accent1" w:themeFillTint="34"/>
    </w:tblPr>
    <w:tcPr>
      <w:tcBorders/>
    </w:tcPr>
    <w:tblStylePr w:type="band1Horz">
      <w:pPr>
        <w:pBdr/>
        <w:spacing/>
        <w:ind/>
      </w:pPr>
      <w:tblPr>
        <w:tblBorders/>
      </w:tblPr>
      <w:tcPr>
        <w:shd w:val="clear" w:color="a9bee4" w:themeColor="accent1" w:themeTint="75" w:fill="a9bee4" w:themeFill="accent1" w:themeFillTint="75"/>
        <w:tcBorders/>
      </w:tcPr>
    </w:tblStylePr>
    <w:tblStylePr w:type="band1Vert">
      <w:pPr>
        <w:pBdr/>
        <w:spacing/>
        <w:ind/>
      </w:pPr>
      <w:tblPr>
        <w:tblBorders/>
      </w:tblPr>
      <w:tcPr>
        <w:shd w:val="clear" w:color="a9bee4"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themeColor="accent1" w:fill="4472c4" w:themeFill="accent1"/>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rFonts w:ascii="Arial" w:hAnsi="Arial"/>
        <w:b/>
        <w:color w:val="ffffff"/>
        <w:sz w:val="22"/>
      </w:rPr>
      <w:pPr>
        <w:pBdr/>
        <w:spacing/>
        <w:ind/>
      </w:pPr>
      <w:tblPr>
        <w:tblBorders/>
      </w:tblPr>
      <w:tcPr>
        <w:shd w:val="clear" w:color="4472c4" w:themeColor="accent1" w:fill="4472c4" w:themeFill="accent1"/>
        <w:tcBorders/>
      </w:tcPr>
    </w:tblStylePr>
    <w:tblStylePr w:type="lastRow">
      <w:rPr>
        <w:rFonts w:ascii="Arial" w:hAnsi="Arial"/>
        <w:b/>
        <w:color w:val="ffffff"/>
        <w:sz w:val="22"/>
      </w:rPr>
      <w:pPr>
        <w:pBdr/>
        <w:spacing/>
        <w:ind/>
      </w:pPr>
      <w:tblPr>
        <w:tblBorders/>
      </w:tblPr>
      <w:tcPr>
        <w:shd w:val="clear" w:color="4472c4" w:themeColor="accent1" w:fill="4472c4"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Grid Table 5 Dark Accent 2"/>
    <w:basedOn w:val="829"/>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Grid Table 5 Dark Accent 3"/>
    <w:basedOn w:val="829"/>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customStyle="1">
    <w:name w:val="Grid Table 5 Dark- Accent 4"/>
    <w:basedOn w:val="829"/>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cPr>
      <w:tcBorders/>
    </w:tcPr>
    <w:tblStylePr w:type="band1Horz">
      <w:pPr>
        <w:pBdr/>
        <w:spacing/>
        <w:ind/>
      </w:pPr>
      <w:tblPr>
        <w:tblBorders/>
      </w:tblPr>
      <w:tcPr>
        <w:shd w:val="clear" w:color="ffe28a" w:themeColor="accent4" w:themeTint="75" w:fill="ffe28a" w:themeFill="accent4" w:themeFillTint="75"/>
        <w:tcBorders/>
      </w:tcPr>
    </w:tblStylePr>
    <w:tblStylePr w:type="band1Vert">
      <w:pPr>
        <w:pBdr/>
        <w:spacing/>
        <w:ind/>
      </w:pPr>
      <w:tblPr>
        <w:tblBorders/>
      </w:tblPr>
      <w:tcPr>
        <w:shd w:val="clear" w:color="ffe28a"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c000" w:themeColor="accent4" w:fill="ffc000" w:themeFill="accent4"/>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rFonts w:ascii="Arial" w:hAnsi="Arial"/>
        <w:b/>
        <w:color w:val="ffffff"/>
        <w:sz w:val="22"/>
      </w:rPr>
      <w:pPr>
        <w:pBdr/>
        <w:spacing/>
        <w:ind/>
      </w:pPr>
      <w:tblPr>
        <w:tblBorders/>
      </w:tblPr>
      <w:tcPr>
        <w:shd w:val="clear" w:color="ffc000" w:themeColor="accent4" w:fill="ffc000" w:themeFill="accent4"/>
        <w:tcBorders/>
      </w:tcPr>
    </w:tblStylePr>
    <w:tblStylePr w:type="lastRow">
      <w:rPr>
        <w:rFonts w:ascii="Arial" w:hAnsi="Arial"/>
        <w:b/>
        <w:color w:val="ffffff"/>
        <w:sz w:val="22"/>
      </w:rPr>
      <w:pPr>
        <w:pBdr/>
        <w:spacing/>
        <w:ind/>
      </w:pPr>
      <w:tblPr>
        <w:tblBorders/>
      </w:tblPr>
      <w:tcPr>
        <w:shd w:val="clear" w:color="ffc000" w:themeColor="accent4"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Grid Table 5 Dark Accent 5"/>
    <w:basedOn w:val="829"/>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5" w:themeTint="34" w:fill="ddeaf6" w:themeFill="accent5" w:themeFillTint="34"/>
    </w:tblPr>
    <w:tcPr>
      <w:tcBorders/>
    </w:tcPr>
    <w:tblStylePr w:type="band1Horz">
      <w:pPr>
        <w:pBdr/>
        <w:spacing/>
        <w:ind/>
      </w:pPr>
      <w:tblPr>
        <w:tblBorders/>
      </w:tblPr>
      <w:tcPr>
        <w:shd w:val="clear" w:color="b3d0eb" w:themeColor="accent5" w:themeTint="75" w:fill="b3d0eb" w:themeFill="accent5" w:themeFillTint="75"/>
        <w:tcBorders/>
      </w:tcPr>
    </w:tblStylePr>
    <w:tblStylePr w:type="band1Vert">
      <w:pPr>
        <w:pBdr/>
        <w:spacing/>
        <w:ind/>
      </w:pPr>
      <w:tblPr>
        <w:tblBorders/>
      </w:tblPr>
      <w:tcPr>
        <w:shd w:val="clear" w:color="b3d0eb" w:themeColor="accent5" w:themeTint="75" w:fill="b3d0eb"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themeColor="accent5" w:fill="5b9bd5" w:themeFill="accent5"/>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cPr>
    </w:tblStylePr>
    <w:tblStylePr w:type="lastCol">
      <w:rPr>
        <w:rFonts w:ascii="Arial" w:hAnsi="Arial"/>
        <w:b/>
        <w:color w:val="ffffff"/>
        <w:sz w:val="22"/>
      </w:rPr>
      <w:pPr>
        <w:pBdr/>
        <w:spacing/>
        <w:ind/>
      </w:pPr>
      <w:tblPr>
        <w:tblBorders/>
      </w:tblPr>
      <w:tcPr>
        <w:shd w:val="clear" w:color="5b9bd5" w:themeColor="accent5" w:fill="5b9bd5" w:themeFill="accent5"/>
        <w:tcBorders/>
      </w:tcPr>
    </w:tblStylePr>
    <w:tblStylePr w:type="lastRow">
      <w:rPr>
        <w:rFonts w:ascii="Arial" w:hAnsi="Arial"/>
        <w:b/>
        <w:color w:val="ffffff"/>
        <w:sz w:val="22"/>
      </w:rPr>
      <w:pPr>
        <w:pBdr/>
        <w:spacing/>
        <w:ind/>
      </w:pPr>
      <w:tblPr>
        <w:tblBorders/>
      </w:tblPr>
      <w:tcPr>
        <w:shd w:val="clear" w:color="5b9bd5" w:themeColor="accent5" w:fill="5b9bd5"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Grid Table 5 Dark Accent 6"/>
    <w:basedOn w:val="829"/>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Grid Table 6 Colorful"/>
    <w:basedOn w:val="829"/>
    <w:uiPriority w:val="99"/>
    <w:pPr>
      <w:pBdr/>
      <w:spacing w:after="0" w:line="240" w:lineRule="auto"/>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Grid Table 6 Colorful Accent 1"/>
    <w:basedOn w:val="829"/>
    <w:uiPriority w:val="99"/>
    <w:pPr>
      <w:pBdr/>
      <w:spacing w:after="0" w:line="240" w:lineRule="auto"/>
      <w:ind/>
    </w:pPr>
    <w:tblPr>
      <w:tblStyleRowBandSize w:val="1"/>
      <w:tblStyleColBandSize w:val="1"/>
      <w:tblBorders>
        <w:top w:val="single" w:color="a0b7e1" w:themeColor="accent1" w:themeTint="80" w:sz="4" w:space="0"/>
        <w:left w:val="single" w:color="a0b7e1" w:themeColor="accent1" w:themeTint="80" w:sz="4" w:space="0"/>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cPr>
      <w:tcBorders/>
    </w:tcPr>
    <w:tblStylePr w:type="band1Horz">
      <w:rPr>
        <w:rFonts w:ascii="Arial" w:hAnsi="Arial"/>
        <w:color w:val="a0b7e1" w:themeColor="accent1" w:themeTint="80" w:themeShade="95"/>
        <w:sz w:val="22"/>
      </w:rPr>
      <w:pPr>
        <w:pBdr/>
        <w:spacing/>
        <w:ind/>
      </w:pPr>
      <w:tblPr>
        <w:tblBorders/>
      </w:tblPr>
      <w:tcPr>
        <w:shd w:val="clear" w:color="d8e2f3" w:themeColor="accent1" w:themeTint="34" w:fill="d8e2f3" w:themeFill="accent1" w:themeFillTint="34"/>
        <w:tcBorders/>
      </w:tcPr>
    </w:tblStylePr>
    <w:tblStylePr w:type="band1Vert">
      <w:pPr>
        <w:pBdr/>
        <w:spacing/>
        <w:ind/>
      </w:pPr>
      <w:tblPr>
        <w:tblBorders/>
      </w:tblPr>
      <w:tcPr>
        <w:shd w:val="clear" w:color="d8e2f3" w:themeColor="accent1" w:themeTint="34" w:fill="d8e2f3" w:themeFill="accent1" w:themeFillTint="34"/>
        <w:tcBorders/>
      </w:tcPr>
    </w:tblStylePr>
    <w:tblStylePr w:type="band2Horz">
      <w:rPr>
        <w:rFonts w:ascii="Arial" w:hAnsi="Arial"/>
        <w:color w:val="a0b7e1"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0b7e1" w:themeColor="accent1" w:themeTint="80" w:themeShade="95"/>
      </w:rPr>
      <w:pPr>
        <w:pBdr/>
        <w:spacing/>
        <w:ind/>
      </w:pPr>
      <w:tblPr>
        <w:tblBorders/>
      </w:tblPr>
      <w:tcPr>
        <w:tcBorders/>
      </w:tcPr>
    </w:tblStylePr>
    <w:tblStylePr w:type="firstRow">
      <w:rPr>
        <w:b/>
        <w:color w:val="a0b7e1" w:themeColor="accent1" w:themeTint="80" w:themeShade="95"/>
      </w:rPr>
      <w:pPr>
        <w:pBdr/>
        <w:spacing/>
        <w:ind/>
      </w:pPr>
      <w:tblPr>
        <w:tblBorders/>
      </w:tblPr>
      <w:tcPr>
        <w:tcBorders>
          <w:bottom w:val="single" w:color="a0b7e1" w:themeColor="accent1" w:themeTint="80" w:sz="12" w:space="0"/>
        </w:tcBorders>
      </w:tcPr>
    </w:tblStylePr>
    <w:tblStylePr w:type="lastCol">
      <w:rPr>
        <w:b/>
        <w:color w:val="a0b7e1" w:themeColor="accent1" w:themeTint="80" w:themeShade="95"/>
      </w:rPr>
      <w:pPr>
        <w:pBdr/>
        <w:spacing/>
        <w:ind/>
      </w:pPr>
      <w:tblPr>
        <w:tblBorders/>
      </w:tblPr>
      <w:tcPr>
        <w:tcBorders/>
      </w:tcPr>
    </w:tblStylePr>
    <w:tblStylePr w:type="lastRow">
      <w:rPr>
        <w:b/>
        <w:color w:val="a0b7e1"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Grid Table 6 Colorful Accent 2"/>
    <w:basedOn w:val="829"/>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Grid Table 6 Colorful Accent 3"/>
    <w:basedOn w:val="829"/>
    <w:uiPriority w:val="99"/>
    <w:pPr>
      <w:pBdr/>
      <w:spacing w:after="0" w:line="240" w:lineRule="auto"/>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Grid Table 6 Colorful Accent 4"/>
    <w:basedOn w:val="829"/>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6 Colorful Accent 5"/>
    <w:basedOn w:val="829"/>
    <w:uiPriority w:val="99"/>
    <w:pPr>
      <w:pBdr/>
      <w:spacing w:after="0" w:line="240" w:lineRule="auto"/>
      <w:ind/>
    </w:pPr>
    <w:tblPr>
      <w:tblStyleRowBandSize w:val="1"/>
      <w:tblStyleColBandSize w:val="1"/>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245a8d" w:themeColor="accent5" w:themeShade="95"/>
        <w:sz w:val="22"/>
      </w:rPr>
      <w:pPr>
        <w:pBdr/>
        <w:spacing/>
        <w:ind/>
      </w:pPr>
      <w:tblPr>
        <w:tblBorders/>
      </w:tblPr>
      <w:tcPr>
        <w:shd w:val="clear" w:color="ddeaf6" w:themeColor="accent5" w:themeTint="34" w:fill="ddeaf6" w:themeFill="accent5" w:themeFillTint="34"/>
        <w:tcBorders/>
      </w:tcPr>
    </w:tblStylePr>
    <w:tblStylePr w:type="band1Vert">
      <w:pPr>
        <w:pBdr/>
        <w:spacing/>
        <w:ind/>
      </w:pPr>
      <w:tblPr>
        <w:tblBorders/>
      </w:tblPr>
      <w:tcPr>
        <w:shd w:val="clear" w:color="ddeaf6" w:themeColor="accent5" w:themeTint="34" w:fill="ddeaf6" w:themeFill="accent5"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5" w:themeShade="95"/>
      </w:rPr>
      <w:pPr>
        <w:pBdr/>
        <w:spacing/>
        <w:ind/>
      </w:pPr>
      <w:tblPr>
        <w:tblBorders/>
      </w:tblPr>
      <w:tcPr>
        <w:tcBorders/>
      </w:tcPr>
    </w:tblStylePr>
    <w:tblStylePr w:type="firstRow">
      <w:rPr>
        <w:b/>
        <w:color w:val="245a8d" w:themeColor="accent5" w:themeShade="95"/>
      </w:rPr>
      <w:pPr>
        <w:pBdr/>
        <w:spacing/>
        <w:ind/>
      </w:pPr>
      <w:tblPr>
        <w:tblBorders/>
      </w:tblPr>
      <w:tcPr>
        <w:tcBorders>
          <w:bottom w:val="single" w:color="5b9bd5" w:themeColor="accent5" w:sz="12" w:space="0"/>
        </w:tcBorders>
      </w:tcPr>
    </w:tblStylePr>
    <w:tblStylePr w:type="lastCol">
      <w:rPr>
        <w:b/>
        <w:color w:val="245a8d" w:themeColor="accent5" w:themeShade="95"/>
      </w:rPr>
      <w:pPr>
        <w:pBdr/>
        <w:spacing/>
        <w:ind/>
      </w:pPr>
      <w:tblPr>
        <w:tblBorders/>
      </w:tblPr>
      <w:tcPr>
        <w:tcBorders/>
      </w:tcPr>
    </w:tblStylePr>
    <w:tblStylePr w:type="lastRow">
      <w:rPr>
        <w:b/>
        <w:color w:val="245a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Grid Table 6 Colorful Accent 6"/>
    <w:basedOn w:val="829"/>
    <w:uiPriority w:val="99"/>
    <w:pPr>
      <w:pBdr/>
      <w:spacing w:after="0" w:line="240" w:lineRule="auto"/>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45a8d"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5" w:themeShade="95"/>
      </w:rPr>
      <w:pPr>
        <w:pBdr/>
        <w:spacing/>
        <w:ind/>
      </w:pPr>
      <w:tblPr>
        <w:tblBorders/>
      </w:tblPr>
      <w:tcPr>
        <w:tcBorders/>
      </w:tcPr>
    </w:tblStylePr>
    <w:tblStylePr w:type="firstRow">
      <w:rPr>
        <w:b/>
        <w:color w:val="245a8d" w:themeColor="accent5" w:themeShade="95"/>
      </w:rPr>
      <w:pPr>
        <w:pBdr/>
        <w:spacing/>
        <w:ind/>
      </w:pPr>
      <w:tblPr>
        <w:tblBorders/>
      </w:tblPr>
      <w:tcPr>
        <w:tcBorders>
          <w:bottom w:val="single" w:color="70ad47" w:themeColor="accent6" w:sz="12" w:space="0"/>
        </w:tcBorders>
      </w:tcPr>
    </w:tblStylePr>
    <w:tblStylePr w:type="lastCol">
      <w:rPr>
        <w:b/>
        <w:color w:val="245a8d" w:themeColor="accent5" w:themeShade="95"/>
      </w:rPr>
      <w:pPr>
        <w:pBdr/>
        <w:spacing/>
        <w:ind/>
      </w:pPr>
      <w:tblPr>
        <w:tblBorders/>
      </w:tblPr>
      <w:tcPr>
        <w:tcBorders/>
      </w:tcPr>
    </w:tblStylePr>
    <w:tblStylePr w:type="lastRow">
      <w:rPr>
        <w:b/>
        <w:color w:val="245a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Grid Table 7 Colorful"/>
    <w:basedOn w:val="829"/>
    <w:uiPriority w:val="99"/>
    <w:pPr>
      <w:pBdr/>
      <w:spacing w:after="0" w:line="240" w:lineRule="auto"/>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Grid Table 7 Colorful Accent 1"/>
    <w:basedOn w:val="829"/>
    <w:uiPriority w:val="99"/>
    <w:pPr>
      <w:pBdr/>
      <w:spacing w:after="0" w:line="240" w:lineRule="auto"/>
      <w:ind/>
    </w:pPr>
    <w:tblPr>
      <w:tblStyleRowBandSize w:val="1"/>
      <w:tblStyleColBandSize w:val="1"/>
      <w:tblBorders>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cPr>
      <w:tcBorders/>
    </w:tcPr>
    <w:tblStylePr w:type="band1Horz">
      <w:rPr>
        <w:rFonts w:ascii="Arial" w:hAnsi="Arial"/>
        <w:color w:val="a0b7e1" w:themeColor="accent1" w:themeTint="80" w:themeShade="95"/>
        <w:sz w:val="22"/>
      </w:rPr>
      <w:pPr>
        <w:pBdr/>
        <w:spacing/>
        <w:ind/>
      </w:pPr>
      <w:tblPr>
        <w:tblBorders/>
      </w:tblPr>
      <w:tcPr>
        <w:shd w:val="clear" w:color="d8e2f3" w:themeColor="accent1" w:themeTint="34" w:fill="d8e2f3" w:themeFill="accent1" w:themeFillTint="34"/>
        <w:tcBorders/>
      </w:tcPr>
    </w:tblStylePr>
    <w:tblStylePr w:type="band1Vert">
      <w:pPr>
        <w:pBdr/>
        <w:spacing/>
        <w:ind/>
      </w:pPr>
      <w:tblPr>
        <w:tblBorders/>
      </w:tblPr>
      <w:tcPr>
        <w:shd w:val="clear" w:color="d8e2f3" w:themeColor="accent1" w:themeTint="34" w:fill="d8e2f3" w:themeFill="accent1" w:themeFillTint="34"/>
        <w:tcBorders/>
      </w:tcPr>
    </w:tblStylePr>
    <w:tblStylePr w:type="band2Horz">
      <w:rPr>
        <w:rFonts w:ascii="Arial" w:hAnsi="Arial"/>
        <w:color w:val="a0b7e1"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0b7e1" w:themeColor="accen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0b7e1" w:themeColor="accent1" w:themeTint="80" w:sz="4" w:space="0"/>
        </w:tcBorders>
      </w:tcPr>
    </w:tblStylePr>
    <w:tblStylePr w:type="firstRow">
      <w:rPr>
        <w:rFonts w:ascii="Arial" w:hAnsi="Arial"/>
        <w:b/>
        <w:color w:val="a0b7e1" w:themeColor="accen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0b7e1" w:themeColor="accent1" w:themeTint="80" w:sz="4" w:space="0"/>
          <w:right w:val="none" w:color="000000" w:sz="0" w:space="0"/>
        </w:tcBorders>
      </w:tcPr>
    </w:tblStylePr>
    <w:tblStylePr w:type="lastCol">
      <w:rPr>
        <w:rFonts w:ascii="Arial" w:hAnsi="Arial"/>
        <w:i/>
        <w:color w:val="a0b7e1" w:themeColor="accent1" w:themeTint="80" w:themeShade="95"/>
        <w:sz w:val="22"/>
      </w:rPr>
      <w:pPr>
        <w:pBdr/>
        <w:spacing/>
        <w:ind/>
      </w:pPr>
      <w:tblPr>
        <w:tblBorders/>
      </w:tblPr>
      <w:tcPr>
        <w:shd w:val="clear" w:color="ffffff" w:fill="auto"/>
        <w:tcBorders>
          <w:top w:val="none" w:color="000000" w:sz="0" w:space="0"/>
          <w:left w:val="single" w:color="a0b7e1" w:themeColor="accent1" w:themeTint="80" w:sz="4" w:space="0"/>
          <w:bottom w:val="none" w:color="000000" w:sz="0" w:space="0"/>
          <w:right w:val="none" w:color="000000" w:sz="0" w:space="0"/>
        </w:tcBorders>
      </w:tcPr>
    </w:tblStylePr>
    <w:tblStylePr w:type="lastRow">
      <w:rPr>
        <w:rFonts w:ascii="Arial" w:hAnsi="Arial"/>
        <w:b/>
        <w:color w:val="a0b7e1" w:themeColor="accent1" w:themeTint="80" w:themeShade="95"/>
        <w:sz w:val="22"/>
      </w:rPr>
      <w:pPr>
        <w:pBdr/>
        <w:spacing/>
        <w:ind/>
      </w:pPr>
      <w:tblPr>
        <w:tblBorders/>
      </w:tblPr>
      <w:tcPr>
        <w:shd w:val="clear" w:color="ffffff" w:themeColor="light1" w:fill="ffffff" w:themeFill="light1"/>
        <w:tcBorders>
          <w:top w:val="single" w:color="a0b7e1" w:themeColor="accen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Grid Table 7 Colorful Accent 2"/>
    <w:basedOn w:val="829"/>
    <w:uiPriority w:val="99"/>
    <w:pPr>
      <w:pBdr/>
      <w:spacing w:after="0" w:line="240" w:lineRule="auto"/>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4b184" w:themeColor="accent2" w:themeTint="97" w:sz="4" w:space="0"/>
          <w:right w:val="none" w:color="000000" w:sz="0"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0" w:space="0"/>
          <w:left w:val="single" w:color="f4b184" w:themeColor="accent2" w:themeTint="97" w:sz="4" w:space="0"/>
          <w:bottom w:val="none" w:color="000000" w:sz="0" w:space="0"/>
          <w:right w:val="none" w:color="000000" w:sz="0"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Grid Table 7 Colorful Accent 3"/>
    <w:basedOn w:val="829"/>
    <w:uiPriority w:val="99"/>
    <w:pPr>
      <w:pBdr/>
      <w:spacing w:after="0" w:line="240" w:lineRule="auto"/>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5a5a5" w:themeColor="accent3" w:themeTint="FE" w:sz="4" w:space="0"/>
          <w:right w:val="none" w:color="000000" w:sz="0"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0" w:space="0"/>
          <w:left w:val="single" w:color="a5a5a5" w:themeColor="accent3" w:themeTint="FE" w:sz="4" w:space="0"/>
          <w:bottom w:val="none" w:color="000000" w:sz="0" w:space="0"/>
          <w:right w:val="none" w:color="000000" w:sz="0"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Grid Table 7 Colorful Accent 4"/>
    <w:basedOn w:val="829"/>
    <w:uiPriority w:val="99"/>
    <w:pPr>
      <w:pBdr/>
      <w:spacing w:after="0" w:line="240" w:lineRule="auto"/>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fd865" w:themeColor="accent4" w:themeTint="9A" w:sz="4" w:space="0"/>
          <w:right w:val="none" w:color="000000" w:sz="0"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0" w:space="0"/>
          <w:left w:val="single" w:color="ffd865" w:themeColor="accent4" w:themeTint="9A" w:sz="4" w:space="0"/>
          <w:bottom w:val="none" w:color="000000" w:sz="0" w:space="0"/>
          <w:right w:val="none" w:color="000000" w:sz="0"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Grid Table 7 Colorful Accent 5"/>
    <w:basedOn w:val="829"/>
    <w:uiPriority w:val="99"/>
    <w:pPr>
      <w:pBdr/>
      <w:spacing w:after="0" w:line="240" w:lineRule="auto"/>
      <w:ind/>
    </w:pPr>
    <w:tblPr>
      <w:tblStyleRowBandSize w:val="1"/>
      <w:tblStyleColBandSize w:val="1"/>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cPr>
      <w:tcBorders/>
    </w:tcPr>
    <w:tblStylePr w:type="band1Horz">
      <w:rPr>
        <w:rFonts w:ascii="Arial" w:hAnsi="Arial"/>
        <w:color w:val="245a8d" w:themeColor="accent5" w:themeShade="95"/>
        <w:sz w:val="22"/>
      </w:rPr>
      <w:pPr>
        <w:pBdr/>
        <w:spacing/>
        <w:ind/>
      </w:pPr>
      <w:tblPr>
        <w:tblBorders/>
      </w:tblPr>
      <w:tcPr>
        <w:shd w:val="clear" w:color="ddeaf6" w:themeColor="accent5" w:themeTint="34" w:fill="ddeaf6" w:themeFill="accent5" w:themeFillTint="34"/>
        <w:tcBorders/>
      </w:tcPr>
    </w:tblStylePr>
    <w:tblStylePr w:type="band1Vert">
      <w:pPr>
        <w:pBdr/>
        <w:spacing/>
        <w:ind/>
      </w:pPr>
      <w:tblPr>
        <w:tblBorders/>
      </w:tblPr>
      <w:tcPr>
        <w:shd w:val="clear" w:color="ddeaf6" w:themeColor="accent5" w:themeTint="34" w:fill="ddeaf6" w:themeFill="accent5"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5"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2c6e7" w:themeColor="accent5" w:themeTint="90" w:sz="4" w:space="0"/>
        </w:tcBorders>
      </w:tcPr>
    </w:tblStylePr>
    <w:tblStylePr w:type="firstRow">
      <w:rPr>
        <w:rFonts w:ascii="Arial" w:hAnsi="Arial"/>
        <w:b/>
        <w:color w:val="245a8d" w:themeColor="accent5"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2c6e7" w:themeColor="accent5" w:themeTint="90" w:sz="4" w:space="0"/>
          <w:right w:val="none" w:color="000000" w:sz="0" w:space="0"/>
        </w:tcBorders>
      </w:tcPr>
    </w:tblStylePr>
    <w:tblStylePr w:type="lastCol">
      <w:rPr>
        <w:rFonts w:ascii="Arial" w:hAnsi="Arial"/>
        <w:i/>
        <w:color w:val="245a8d" w:themeColor="accent5" w:themeShade="95"/>
        <w:sz w:val="22"/>
      </w:rPr>
      <w:pPr>
        <w:pBdr/>
        <w:spacing/>
        <w:ind/>
      </w:pPr>
      <w:tblPr>
        <w:tblBorders/>
      </w:tblPr>
      <w:tcPr>
        <w:shd w:val="clear" w:color="ffffff" w:fill="auto"/>
        <w:tcBorders>
          <w:top w:val="none" w:color="000000" w:sz="0" w:space="0"/>
          <w:left w:val="single" w:color="a2c6e7" w:themeColor="accent5" w:themeTint="90" w:sz="4" w:space="0"/>
          <w:bottom w:val="none" w:color="000000" w:sz="0" w:space="0"/>
          <w:right w:val="none" w:color="000000" w:sz="0" w:space="0"/>
        </w:tcBorders>
      </w:tcPr>
    </w:tblStylePr>
    <w:tblStylePr w:type="lastRow">
      <w:rPr>
        <w:rFonts w:ascii="Arial" w:hAnsi="Arial"/>
        <w:b/>
        <w:color w:val="245a8d" w:themeColor="accent5" w:themeShade="95"/>
        <w:sz w:val="22"/>
      </w:rPr>
      <w:pPr>
        <w:pBdr/>
        <w:spacing/>
        <w:ind/>
      </w:pPr>
      <w:tblPr>
        <w:tblBorders/>
      </w:tblPr>
      <w:tcPr>
        <w:shd w:val="clear" w:color="ffffff" w:themeColor="light1" w:fill="ffffff" w:themeFill="light1"/>
        <w:tcBorders>
          <w:top w:val="single" w:color="a2c6e7" w:themeColor="accent5"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Grid Table 7 Colorful Accent 6"/>
    <w:basedOn w:val="829"/>
    <w:uiPriority w:val="99"/>
    <w:pPr>
      <w:pBdr/>
      <w:spacing w:after="0" w:line="240" w:lineRule="auto"/>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dd394" w:themeColor="accent6" w:themeTint="90" w:sz="4" w:space="0"/>
          <w:right w:val="none" w:color="000000" w:sz="0"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0" w:space="0"/>
          <w:left w:val="single" w:color="add394" w:themeColor="accent6" w:themeTint="90" w:sz="4" w:space="0"/>
          <w:bottom w:val="none" w:color="000000" w:sz="0" w:space="0"/>
          <w:right w:val="none" w:color="000000" w:sz="0"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List Table 1 Light"/>
    <w:basedOn w:val="829"/>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List Table 1 Light Accent 1"/>
    <w:basedOn w:val="829"/>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List Table 1 Light Accent 2"/>
    <w:basedOn w:val="829"/>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List Table 1 Light Accent 3"/>
    <w:basedOn w:val="829"/>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List Table 1 Light Accent 4"/>
    <w:basedOn w:val="829"/>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List Table 1 Light Accent 5"/>
    <w:basedOn w:val="829"/>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List Table 1 Light Accent 6"/>
    <w:basedOn w:val="829"/>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List Table 2"/>
    <w:basedOn w:val="829"/>
    <w:uiPriority w:val="99"/>
    <w:pPr>
      <w:pBdr/>
      <w:spacing w:after="0" w:line="240" w:lineRule="auto"/>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List Table 2 Accent 1"/>
    <w:basedOn w:val="829"/>
    <w:uiPriority w:val="99"/>
    <w:pPr>
      <w:pBdr/>
      <w:spacing w:after="0" w:line="240" w:lineRule="auto"/>
      <w:ind/>
    </w:pPr>
    <w:tblPr>
      <w:tblStyleRowBandSize w:val="1"/>
      <w:tblStyleColBandSize w:val="1"/>
      <w:tblBorders>
        <w:top w:val="single" w:color="95afdd" w:themeColor="accent1" w:themeTint="90" w:sz="4" w:space="0"/>
        <w:bottom w:val="single" w:color="95afdd" w:themeColor="accent1" w:themeTint="90" w:sz="4" w:space="0"/>
        <w:insideH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1Vert">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List Table 2 Accent 2"/>
    <w:basedOn w:val="829"/>
    <w:uiPriority w:val="99"/>
    <w:pPr>
      <w:pBdr/>
      <w:spacing w:after="0" w:line="240" w:lineRule="auto"/>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List Table 2 Accent 3"/>
    <w:basedOn w:val="829"/>
    <w:uiPriority w:val="99"/>
    <w:pPr>
      <w:pBdr/>
      <w:spacing w:after="0" w:line="240" w:lineRule="auto"/>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List Table 2 Accent 4"/>
    <w:basedOn w:val="829"/>
    <w:uiPriority w:val="99"/>
    <w:pPr>
      <w:pBdr/>
      <w:spacing w:after="0" w:line="240" w:lineRule="auto"/>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List Table 2 Accent 5"/>
    <w:basedOn w:val="829"/>
    <w:uiPriority w:val="99"/>
    <w:pPr>
      <w:pBdr/>
      <w:spacing w:after="0" w:line="240" w:lineRule="auto"/>
      <w:ind/>
    </w:pPr>
    <w:tblPr>
      <w:tblStyleRowBandSize w:val="1"/>
      <w:tblStyleColBandSize w:val="1"/>
      <w:tblBorders>
        <w:top w:val="single" w:color="a2c6e7" w:themeColor="accent5" w:themeTint="90" w:sz="4" w:space="0"/>
        <w:bottom w:val="single" w:color="a2c6e7" w:themeColor="accent5" w:themeTint="90" w:sz="4" w:space="0"/>
        <w:insideH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1Vert">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List Table 2 Accent 6"/>
    <w:basedOn w:val="829"/>
    <w:uiPriority w:val="99"/>
    <w:pPr>
      <w:pBdr/>
      <w:spacing w:after="0" w:line="240" w:lineRule="auto"/>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List Table 3"/>
    <w:basedOn w:val="829"/>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List Table 3 Accent 1"/>
    <w:basedOn w:val="829"/>
    <w:uiPriority w:val="99"/>
    <w:pPr>
      <w:pBdr/>
      <w:spacing w:after="0" w:line="240" w:lineRule="auto"/>
      <w:ind/>
    </w:pPr>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cPr>
      <w:tcBorders/>
    </w:tcPr>
    <w:tblStylePr w:type="band1Horz">
      <w:rPr>
        <w:rFonts w:ascii="Arial" w:hAnsi="Arial"/>
        <w:color w:val="404040"/>
        <w:sz w:val="22"/>
      </w:rPr>
      <w:pPr>
        <w:pBdr/>
        <w:spacing/>
        <w:ind/>
      </w:pPr>
      <w:tblPr>
        <w:tblBorders/>
      </w:tblPr>
      <w:tcPr>
        <w:tcBorders>
          <w:top w:val="single" w:color="4472c4" w:themeColor="accent1" w:sz="4" w:space="0"/>
          <w:bottom w:val="single" w:color="4472c4" w:themeColor="accent1" w:sz="4" w:space="0"/>
        </w:tcBorders>
      </w:tcPr>
    </w:tblStylePr>
    <w:tblStylePr w:type="band1Vert">
      <w:rPr>
        <w:rFonts w:ascii="Arial" w:hAnsi="Arial"/>
        <w:color w:val="404040"/>
        <w:sz w:val="22"/>
      </w:rPr>
      <w:pPr>
        <w:pBdr/>
        <w:spacing/>
        <w:ind/>
      </w:pPr>
      <w:tblPr>
        <w:tblBorders/>
      </w:tblPr>
      <w:tcPr>
        <w:tcBorders>
          <w:left w:val="single" w:color="4472c4" w:themeColor="accent1" w:sz="4" w:space="0"/>
          <w:right w:val="single" w:color="4472c4"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List Table 3 Accent 2"/>
    <w:basedOn w:val="829"/>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List Table 3 Accent 3"/>
    <w:basedOn w:val="829"/>
    <w:uiPriority w:val="99"/>
    <w:pPr>
      <w:pBdr/>
      <w:spacing w:after="0" w:line="240" w:lineRule="auto"/>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List Table 3 Accent 4"/>
    <w:basedOn w:val="829"/>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List Table 3 Accent 5"/>
    <w:basedOn w:val="829"/>
    <w:uiPriority w:val="99"/>
    <w:pPr>
      <w:pBdr/>
      <w:spacing w:after="0" w:line="240" w:lineRule="auto"/>
      <w:ind/>
    </w:pPr>
    <w:tblPr>
      <w:tblStyleRowBandSize w:val="1"/>
      <w:tblStyleColBandSize w:val="1"/>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9bc2e5" w:themeColor="accent5" w:themeTint="9A" w:sz="4" w:space="0"/>
          <w:bottom w:val="single" w:color="9bc2e5" w:themeColor="accent5" w:themeTint="9A" w:sz="4" w:space="0"/>
        </w:tcBorders>
      </w:tcPr>
    </w:tblStylePr>
    <w:tblStylePr w:type="band1Vert">
      <w:rPr>
        <w:rFonts w:ascii="Arial" w:hAnsi="Arial"/>
        <w:color w:val="404040"/>
        <w:sz w:val="22"/>
      </w:rPr>
      <w:pPr>
        <w:pBdr/>
        <w:spacing/>
        <w:ind/>
      </w:pPr>
      <w:tblPr>
        <w:tblBorders/>
      </w:tblPr>
      <w:tcPr>
        <w:tcBorders>
          <w:left w:val="single" w:color="9bc2e5" w:themeColor="accent5" w:themeTint="9A" w:sz="4" w:space="0"/>
          <w:right w:val="single" w:color="9bc2e5"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bc2e5" w:themeColor="accent5" w:themeTint="9A" w:fill="9bc2e5"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List Table 3 Accent 6"/>
    <w:basedOn w:val="829"/>
    <w:uiPriority w:val="99"/>
    <w:pPr>
      <w:pBdr/>
      <w:spacing w:after="0" w:line="240" w:lineRule="auto"/>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List Table 4"/>
    <w:basedOn w:val="829"/>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List Table 4 Accent 1"/>
    <w:basedOn w:val="829"/>
    <w:uiPriority w:val="99"/>
    <w:pPr>
      <w:pBdr/>
      <w:spacing w:after="0" w:line="240" w:lineRule="auto"/>
      <w:ind/>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1Vert">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List Table 4 Accent 2"/>
    <w:basedOn w:val="829"/>
    <w:uiPriority w:val="9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List Table 4 Accent 3"/>
    <w:basedOn w:val="829"/>
    <w:uiPriority w:val="9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List Table 4 Accent 4"/>
    <w:basedOn w:val="829"/>
    <w:uiPriority w:val="9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List Table 4 Accent 5"/>
    <w:basedOn w:val="829"/>
    <w:uiPriority w:val="99"/>
    <w:pPr>
      <w:pBdr/>
      <w:spacing w:after="0" w:line="240" w:lineRule="auto"/>
      <w:ind/>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1Vert">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List Table 4 Accent 6"/>
    <w:basedOn w:val="829"/>
    <w:uiPriority w:val="9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List Table 5 Dark"/>
    <w:basedOn w:val="829"/>
    <w:uiPriority w:val="99"/>
    <w:pPr>
      <w:pBdr/>
      <w:spacing w:after="0" w:line="240" w:lineRule="auto"/>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List Table 5 Dark Accent 1"/>
    <w:basedOn w:val="829"/>
    <w:uiPriority w:val="99"/>
    <w:pPr>
      <w:pBdr/>
      <w:spacing w:after="0" w:line="240" w:lineRule="auto"/>
      <w:ind/>
    </w:pPr>
    <w:tblPr>
      <w:tblStyleRowBandSize w:val="1"/>
      <w:tblStyleColBandSize w:val="1"/>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shd w:val="clear" w:color="4472c4" w:themeColor="accent1" w:fill="4472c4" w:themeFill="accent1"/>
    </w:tblPr>
    <w:tcPr>
      <w:tcBorders/>
    </w:tcPr>
    <w:tblStylePr w:type="band1Horz">
      <w:pPr>
        <w:pBdr/>
        <w:spacing/>
        <w:ind/>
      </w:pPr>
      <w:tblPr>
        <w:tblBorders/>
      </w:tblPr>
      <w:tcPr>
        <w:shd w:val="clear" w:color="4472c4" w:themeColor="accent1" w:fill="4472c4"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4472c4" w:themeColor="accent1" w:fill="4472c4"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4472c4" w:themeColor="accent1" w:fill="4472c4"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4472c4"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4472c4" w:themeColor="accent1" w:fill="4472c4" w:themeFill="accent1"/>
        <w:tcBorders>
          <w:top w:val="single" w:color="4472c4"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472c4"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List Table 5 Dark Accent 2"/>
    <w:basedOn w:val="829"/>
    <w:uiPriority w:val="99"/>
    <w:pPr>
      <w:pBdr/>
      <w:spacing w:after="0" w:line="240" w:lineRule="auto"/>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List Table 5 Dark Accent 3"/>
    <w:basedOn w:val="829"/>
    <w:uiPriority w:val="99"/>
    <w:pPr>
      <w:pBdr/>
      <w:spacing w:after="0" w:line="240" w:lineRule="auto"/>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List Table 5 Dark Accent 4"/>
    <w:basedOn w:val="829"/>
    <w:uiPriority w:val="99"/>
    <w:pPr>
      <w:pBdr/>
      <w:spacing w:after="0" w:line="240" w:lineRule="auto"/>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List Table 5 Dark Accent 5"/>
    <w:basedOn w:val="829"/>
    <w:uiPriority w:val="99"/>
    <w:pPr>
      <w:pBdr/>
      <w:spacing w:after="0" w:line="240" w:lineRule="auto"/>
      <w:ind/>
    </w:pPr>
    <w:tblPr>
      <w:tblStyleRowBandSize w:val="1"/>
      <w:tblStyleColBandSize w:val="1"/>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shd w:val="clear" w:color="9bc2e5" w:themeColor="accent5" w:themeTint="9A" w:fill="9bc2e5" w:themeFill="accent5" w:themeFillTint="9A"/>
    </w:tblPr>
    <w:tcPr>
      <w:tcBorders/>
    </w:tcPr>
    <w:tblStylePr w:type="band1Horz">
      <w:pPr>
        <w:pBdr/>
        <w:spacing/>
        <w:ind/>
      </w:pPr>
      <w:tblPr>
        <w:tblBorders/>
      </w:tblPr>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9bc2e5" w:themeColor="accent5" w:themeTint="9A" w:fill="9bc2e5"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9bc2e5"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9bc2e5" w:themeColor="accent5" w:themeTint="9A" w:fill="9bc2e5" w:themeFill="accent5" w:themeFillTint="9A"/>
        <w:tcBorders>
          <w:top w:val="single" w:color="9bc2e5"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9bc2e5"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List Table 5 Dark Accent 6"/>
    <w:basedOn w:val="829"/>
    <w:uiPriority w:val="99"/>
    <w:pPr>
      <w:pBdr/>
      <w:spacing w:after="0" w:line="240" w:lineRule="auto"/>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List Table 6 Colorful"/>
    <w:basedOn w:val="829"/>
    <w:uiPriority w:val="99"/>
    <w:pPr>
      <w:pBdr/>
      <w:spacing w:after="0" w:line="240" w:lineRule="auto"/>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List Table 6 Colorful Accent 1"/>
    <w:basedOn w:val="829"/>
    <w:uiPriority w:val="99"/>
    <w:pPr>
      <w:pBdr/>
      <w:spacing w:after="0" w:line="240" w:lineRule="auto"/>
      <w:ind/>
    </w:pPr>
    <w:tblPr>
      <w:tblStyleRowBandSize w:val="1"/>
      <w:tblStyleColBandSize w:val="1"/>
      <w:tblBorders>
        <w:top w:val="single" w:color="4472c4" w:themeColor="accent1" w:sz="4" w:space="0"/>
        <w:bottom w:val="single" w:color="4472c4" w:themeColor="accent1" w:sz="4" w:space="0"/>
      </w:tblBorders>
    </w:tblPr>
    <w:tcPr>
      <w:tcBorders/>
    </w:tcPr>
    <w:tblStylePr w:type="band1Horz">
      <w:rPr>
        <w:rFonts w:ascii="Arial" w:hAnsi="Arial"/>
        <w:color w:val="254175" w:themeColor="accent1" w:themeShade="95"/>
        <w:sz w:val="22"/>
      </w:rPr>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rPr>
        <w:rFonts w:ascii="Arial" w:hAnsi="Arial"/>
        <w:color w:val="2541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1" w:themeShade="95"/>
      </w:rPr>
      <w:pPr>
        <w:pBdr/>
        <w:spacing/>
        <w:ind/>
      </w:pPr>
      <w:tblPr>
        <w:tblBorders/>
      </w:tblPr>
      <w:tcPr>
        <w:tcBorders/>
      </w:tcPr>
    </w:tblStylePr>
    <w:tblStylePr w:type="firstRow">
      <w:rPr>
        <w:b/>
        <w:color w:val="254175" w:themeColor="accent1" w:themeShade="95"/>
      </w:rPr>
      <w:pPr>
        <w:pBdr/>
        <w:spacing/>
        <w:ind/>
      </w:pPr>
      <w:tblPr>
        <w:tblBorders/>
      </w:tblPr>
      <w:tcPr>
        <w:tcBorders>
          <w:bottom w:val="single" w:color="4472c4" w:themeColor="accent1" w:sz="4" w:space="0"/>
        </w:tcBorders>
      </w:tcPr>
    </w:tblStylePr>
    <w:tblStylePr w:type="lastCol">
      <w:rPr>
        <w:b/>
        <w:color w:val="254175" w:themeColor="accent1" w:themeShade="95"/>
      </w:rPr>
      <w:pPr>
        <w:pBdr/>
        <w:spacing/>
        <w:ind/>
      </w:pPr>
      <w:tblPr>
        <w:tblBorders/>
      </w:tblPr>
      <w:tcPr>
        <w:tcBorders/>
      </w:tcPr>
    </w:tblStylePr>
    <w:tblStylePr w:type="lastRow">
      <w:rPr>
        <w:b/>
        <w:color w:val="254175" w:themeColor="accent1" w:themeShade="95"/>
      </w:rPr>
      <w:pPr>
        <w:pBdr/>
        <w:spacing/>
        <w:ind/>
      </w:pPr>
      <w:tblPr>
        <w:tblBorders/>
      </w:tblPr>
      <w:tcPr>
        <w:tcBorders>
          <w:top w:val="single" w:color="4472c4"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List Table 6 Colorful Accent 2"/>
    <w:basedOn w:val="829"/>
    <w:uiPriority w:val="99"/>
    <w:pPr>
      <w:pBdr/>
      <w:spacing w:after="0" w:line="240" w:lineRule="auto"/>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List Table 6 Colorful Accent 3"/>
    <w:basedOn w:val="829"/>
    <w:uiPriority w:val="99"/>
    <w:pPr>
      <w:pBdr/>
      <w:spacing w:after="0" w:line="240" w:lineRule="auto"/>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List Table 6 Colorful Accent 4"/>
    <w:basedOn w:val="829"/>
    <w:uiPriority w:val="99"/>
    <w:pPr>
      <w:pBdr/>
      <w:spacing w:after="0" w:line="240" w:lineRule="auto"/>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List Table 6 Colorful Accent 5"/>
    <w:basedOn w:val="829"/>
    <w:uiPriority w:val="99"/>
    <w:pPr>
      <w:pBdr/>
      <w:spacing w:after="0" w:line="240" w:lineRule="auto"/>
      <w:ind/>
    </w:pPr>
    <w:tblPr>
      <w:tblStyleRowBandSize w:val="1"/>
      <w:tblStyleColBandSize w:val="1"/>
      <w:tblBorders>
        <w:top w:val="single" w:color="9bc2e5" w:themeColor="accent5" w:themeTint="9A" w:sz="4" w:space="0"/>
        <w:bottom w:val="single" w:color="9bc2e5" w:themeColor="accent5" w:themeTint="9A" w:sz="4" w:space="0"/>
      </w:tblBorders>
    </w:tblPr>
    <w:tcPr>
      <w:tcBorders/>
    </w:tcPr>
    <w:tblStylePr w:type="band1Horz">
      <w:rPr>
        <w:rFonts w:ascii="Arial" w:hAnsi="Arial"/>
        <w:color w:val="9bc2e5" w:themeColor="accent5" w:themeTint="9A" w:themeShade="95"/>
        <w:sz w:val="22"/>
      </w:rPr>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rPr>
        <w:rFonts w:ascii="Arial" w:hAnsi="Arial"/>
        <w:color w:val="9bc2e5"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bc2e5" w:themeColor="accent5" w:themeTint="9A" w:themeShade="95"/>
      </w:rPr>
      <w:pPr>
        <w:pBdr/>
        <w:spacing/>
        <w:ind/>
      </w:pPr>
      <w:tblPr>
        <w:tblBorders/>
      </w:tblPr>
      <w:tcPr>
        <w:tcBorders/>
      </w:tcPr>
    </w:tblStylePr>
    <w:tblStylePr w:type="firstRow">
      <w:rPr>
        <w:b/>
        <w:color w:val="9bc2e5" w:themeColor="accent5" w:themeTint="9A" w:themeShade="95"/>
      </w:rPr>
      <w:pPr>
        <w:pBdr/>
        <w:spacing/>
        <w:ind/>
      </w:pPr>
      <w:tblPr>
        <w:tblBorders/>
      </w:tblPr>
      <w:tcPr>
        <w:tcBorders>
          <w:bottom w:val="single" w:color="9bc2e5" w:themeColor="accent5" w:themeTint="9A" w:sz="4" w:space="0"/>
        </w:tcBorders>
      </w:tcPr>
    </w:tblStylePr>
    <w:tblStylePr w:type="lastCol">
      <w:rPr>
        <w:b/>
        <w:color w:val="9bc2e5" w:themeColor="accent5" w:themeTint="9A" w:themeShade="95"/>
      </w:rPr>
      <w:pPr>
        <w:pBdr/>
        <w:spacing/>
        <w:ind/>
      </w:pPr>
      <w:tblPr>
        <w:tblBorders/>
      </w:tblPr>
      <w:tcPr>
        <w:tcBorders/>
      </w:tcPr>
    </w:tblStylePr>
    <w:tblStylePr w:type="lastRow">
      <w:rPr>
        <w:b/>
        <w:color w:val="9bc2e5" w:themeColor="accent5" w:themeTint="9A" w:themeShade="95"/>
      </w:rPr>
      <w:pPr>
        <w:pBdr/>
        <w:spacing/>
        <w:ind/>
      </w:pPr>
      <w:tblPr>
        <w:tblBorders/>
      </w:tblPr>
      <w:tcPr>
        <w:tcBorders>
          <w:top w:val="single" w:color="9bc2e5"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List Table 6 Colorful Accent 6"/>
    <w:basedOn w:val="829"/>
    <w:uiPriority w:val="99"/>
    <w:pPr>
      <w:pBdr/>
      <w:spacing w:after="0" w:line="240" w:lineRule="auto"/>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List Table 7 Colorful"/>
    <w:basedOn w:val="829"/>
    <w:uiPriority w:val="99"/>
    <w:pPr>
      <w:pBdr/>
      <w:spacing w:after="0" w:line="240" w:lineRule="auto"/>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List Table 7 Colorful Accent 1"/>
    <w:basedOn w:val="829"/>
    <w:uiPriority w:val="99"/>
    <w:pPr>
      <w:pBdr/>
      <w:spacing w:after="0" w:line="240" w:lineRule="auto"/>
      <w:ind/>
    </w:pPr>
    <w:tblPr>
      <w:tblStyleRowBandSize w:val="1"/>
      <w:tblStyleColBandSize w:val="1"/>
      <w:tblBorders>
        <w:right w:val="single" w:color="4472c4" w:themeColor="accent1" w:sz="4" w:space="0"/>
      </w:tblBorders>
    </w:tblPr>
    <w:tcPr>
      <w:tcBorders/>
    </w:tcPr>
    <w:tblStylePr w:type="band1Horz">
      <w:rPr>
        <w:rFonts w:ascii="Arial" w:hAnsi="Arial"/>
        <w:color w:val="254175" w:themeColor="accent1" w:themeShade="95"/>
        <w:sz w:val="22"/>
      </w:rPr>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rPr>
        <w:rFonts w:ascii="Arial" w:hAnsi="Arial"/>
        <w:color w:val="2541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1"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4472c4" w:themeColor="accent1" w:sz="4" w:space="0"/>
        </w:tcBorders>
      </w:tcPr>
    </w:tblStylePr>
    <w:tblStylePr w:type="firstRow">
      <w:rPr>
        <w:rFonts w:ascii="Arial" w:hAnsi="Arial"/>
        <w:i/>
        <w:color w:val="254175" w:themeColor="accent1"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4472c4" w:themeColor="accent1" w:sz="4" w:space="0"/>
          <w:right w:val="none" w:color="000000" w:sz="0" w:space="0"/>
        </w:tcBorders>
      </w:tcPr>
    </w:tblStylePr>
    <w:tblStylePr w:type="lastCol">
      <w:rPr>
        <w:rFonts w:ascii="Arial" w:hAnsi="Arial"/>
        <w:i/>
        <w:color w:val="254175" w:themeColor="accent1" w:themeShade="95"/>
        <w:sz w:val="22"/>
      </w:rPr>
      <w:pPr>
        <w:pBdr/>
        <w:spacing/>
        <w:ind/>
      </w:pPr>
      <w:tblPr>
        <w:tblBorders/>
      </w:tblPr>
      <w:tcPr>
        <w:shd w:val="clear" w:color="ffffff" w:fill="auto"/>
        <w:tcBorders>
          <w:top w:val="none" w:color="000000" w:sz="0" w:space="0"/>
          <w:left w:val="single" w:color="4472c4" w:themeColor="accent1" w:sz="4" w:space="0"/>
          <w:bottom w:val="none" w:color="000000" w:sz="0" w:space="0"/>
          <w:right w:val="none" w:color="000000" w:sz="0" w:space="0"/>
        </w:tcBorders>
      </w:tcPr>
    </w:tblStylePr>
    <w:tblStylePr w:type="lastRow">
      <w:rPr>
        <w:rFonts w:ascii="Arial" w:hAnsi="Arial"/>
        <w:i/>
        <w:color w:val="254175" w:themeColor="accent1" w:themeShade="95"/>
        <w:sz w:val="22"/>
      </w:rPr>
      <w:pPr>
        <w:pBdr/>
        <w:spacing/>
        <w:ind/>
      </w:pPr>
      <w:tblPr>
        <w:tblBorders/>
      </w:tblPr>
      <w:tcPr>
        <w:shd w:val="clear" w:color="ffffff" w:themeColor="light1" w:fill="ffffff" w:themeFill="light1"/>
        <w:tcBorders>
          <w:top w:val="single" w:color="4472c4" w:themeColor="accent1"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List Table 7 Colorful Accent 2"/>
    <w:basedOn w:val="829"/>
    <w:uiPriority w:val="99"/>
    <w:pPr>
      <w:pBdr/>
      <w:spacing w:after="0" w:line="240" w:lineRule="auto"/>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4b184" w:themeColor="accent2" w:themeTint="97" w:sz="4" w:space="0"/>
          <w:right w:val="none" w:color="000000" w:sz="0"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0" w:space="0"/>
          <w:left w:val="single" w:color="f4b184" w:themeColor="accent2" w:themeTint="97" w:sz="4" w:space="0"/>
          <w:bottom w:val="none" w:color="000000" w:sz="0" w:space="0"/>
          <w:right w:val="none" w:color="000000" w:sz="0"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List Table 7 Colorful Accent 3"/>
    <w:basedOn w:val="829"/>
    <w:uiPriority w:val="99"/>
    <w:pPr>
      <w:pBdr/>
      <w:spacing w:after="0" w:line="240" w:lineRule="auto"/>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c9c9c9" w:themeColor="accent3" w:themeTint="98" w:sz="4" w:space="0"/>
          <w:right w:val="none" w:color="000000" w:sz="0"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0" w:space="0"/>
          <w:left w:val="single" w:color="c9c9c9" w:themeColor="accent3" w:themeTint="98" w:sz="4" w:space="0"/>
          <w:bottom w:val="none" w:color="000000" w:sz="0" w:space="0"/>
          <w:right w:val="none" w:color="000000" w:sz="0"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List Table 7 Colorful Accent 4"/>
    <w:basedOn w:val="829"/>
    <w:uiPriority w:val="99"/>
    <w:pPr>
      <w:pBdr/>
      <w:spacing w:after="0" w:line="240" w:lineRule="auto"/>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fd865" w:themeColor="accent4" w:themeTint="9A" w:sz="4" w:space="0"/>
          <w:right w:val="none" w:color="000000" w:sz="0"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0" w:space="0"/>
          <w:left w:val="single" w:color="ffd865" w:themeColor="accent4" w:themeTint="9A" w:sz="4" w:space="0"/>
          <w:bottom w:val="none" w:color="000000" w:sz="0" w:space="0"/>
          <w:right w:val="none" w:color="000000" w:sz="0"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List Table 7 Colorful Accent 5"/>
    <w:basedOn w:val="829"/>
    <w:uiPriority w:val="99"/>
    <w:pPr>
      <w:pBdr/>
      <w:spacing w:after="0" w:line="240" w:lineRule="auto"/>
      <w:ind/>
    </w:pPr>
    <w:tblPr>
      <w:tblStyleRowBandSize w:val="1"/>
      <w:tblStyleColBandSize w:val="1"/>
      <w:tblBorders>
        <w:right w:val="single" w:color="9bc2e5" w:themeColor="accent5" w:themeTint="9A" w:sz="4" w:space="0"/>
      </w:tblBorders>
    </w:tblPr>
    <w:tcPr>
      <w:tcBorders/>
    </w:tcPr>
    <w:tblStylePr w:type="band1Horz">
      <w:rPr>
        <w:rFonts w:ascii="Arial" w:hAnsi="Arial"/>
        <w:color w:val="9bc2e5" w:themeColor="accent5" w:themeTint="9A" w:themeShade="95"/>
        <w:sz w:val="22"/>
      </w:rPr>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rPr>
        <w:rFonts w:ascii="Arial" w:hAnsi="Arial"/>
        <w:color w:val="9bc2e5"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bc2e5" w:themeColor="accent5"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bc2e5" w:themeColor="accent5" w:themeTint="9A" w:sz="4" w:space="0"/>
        </w:tcBorders>
      </w:tcPr>
    </w:tblStylePr>
    <w:tblStylePr w:type="firstRow">
      <w:rPr>
        <w:rFonts w:ascii="Arial" w:hAnsi="Arial"/>
        <w:i/>
        <w:color w:val="9bc2e5" w:themeColor="accent5"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bc2e5" w:themeColor="accent5" w:themeTint="9A" w:sz="4" w:space="0"/>
          <w:right w:val="none" w:color="000000" w:sz="0" w:space="0"/>
        </w:tcBorders>
      </w:tcPr>
    </w:tblStylePr>
    <w:tblStylePr w:type="lastCol">
      <w:rPr>
        <w:rFonts w:ascii="Arial" w:hAnsi="Arial"/>
        <w:i/>
        <w:color w:val="9bc2e5" w:themeColor="accent5" w:themeTint="9A" w:themeShade="95"/>
        <w:sz w:val="22"/>
      </w:rPr>
      <w:pPr>
        <w:pBdr/>
        <w:spacing/>
        <w:ind/>
      </w:pPr>
      <w:tblPr>
        <w:tblBorders/>
      </w:tblPr>
      <w:tcPr>
        <w:shd w:val="clear" w:color="ffffff" w:fill="auto"/>
        <w:tcBorders>
          <w:top w:val="none" w:color="000000" w:sz="0" w:space="0"/>
          <w:left w:val="single" w:color="9bc2e5" w:themeColor="accent5" w:themeTint="9A" w:sz="4" w:space="0"/>
          <w:bottom w:val="none" w:color="000000" w:sz="0" w:space="0"/>
          <w:right w:val="none" w:color="000000" w:sz="0" w:space="0"/>
        </w:tcBorders>
      </w:tcPr>
    </w:tblStylePr>
    <w:tblStylePr w:type="lastRow">
      <w:rPr>
        <w:rFonts w:ascii="Arial" w:hAnsi="Arial"/>
        <w:i/>
        <w:color w:val="9bc2e5" w:themeColor="accent5" w:themeTint="9A" w:themeShade="95"/>
        <w:sz w:val="22"/>
      </w:rPr>
      <w:pPr>
        <w:pBdr/>
        <w:spacing/>
        <w:ind/>
      </w:pPr>
      <w:tblPr>
        <w:tblBorders/>
      </w:tblPr>
      <w:tcPr>
        <w:shd w:val="clear" w:color="ffffff" w:themeColor="light1" w:fill="ffffff" w:themeFill="light1"/>
        <w:tcBorders>
          <w:top w:val="single" w:color="9bc2e5" w:themeColor="accent5"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List Table 7 Colorful Accent 6"/>
    <w:basedOn w:val="829"/>
    <w:uiPriority w:val="99"/>
    <w:pPr>
      <w:pBdr/>
      <w:spacing w:after="0" w:line="240" w:lineRule="auto"/>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9d08e" w:themeColor="accent6" w:themeTint="98" w:sz="4" w:space="0"/>
          <w:right w:val="none" w:color="000000" w:sz="0"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0" w:space="0"/>
          <w:left w:val="single" w:color="a9d08e" w:themeColor="accent6" w:themeTint="98" w:sz="4" w:space="0"/>
          <w:bottom w:val="none" w:color="000000" w:sz="0" w:space="0"/>
          <w:right w:val="none" w:color="000000" w:sz="0"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customStyle="1">
    <w:name w:val="Lined - Accent"/>
    <w:basedOn w:val="829"/>
    <w:uiPriority w:val="99"/>
    <w:pPr>
      <w:pBdr/>
      <w:spacing w:after="0" w:line="240" w:lineRule="auto"/>
      <w:ind/>
    </w:pPr>
    <w:rPr>
      <w:color w:val="404040"/>
      <w:sz w:val="2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customStyle="1">
    <w:name w:val="Lined - Accent 1"/>
    <w:basedOn w:val="829"/>
    <w:uiPriority w:val="99"/>
    <w:pPr>
      <w:pBdr/>
      <w:spacing w:after="0" w:line="240" w:lineRule="auto"/>
      <w:ind/>
    </w:pPr>
    <w:rPr>
      <w:color w:val="404040"/>
      <w:sz w:val="2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band2Vert">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fir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fir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customStyle="1">
    <w:name w:val="Lined - Accent 2"/>
    <w:basedOn w:val="829"/>
    <w:uiPriority w:val="99"/>
    <w:pPr>
      <w:pBdr/>
      <w:spacing w:after="0" w:line="240" w:lineRule="auto"/>
      <w:ind/>
    </w:pPr>
    <w:rPr>
      <w:color w:val="404040"/>
      <w:sz w:val="2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customStyle="1">
    <w:name w:val="Lined - Accent 3"/>
    <w:basedOn w:val="829"/>
    <w:uiPriority w:val="99"/>
    <w:pPr>
      <w:pBdr/>
      <w:spacing w:after="0" w:line="240" w:lineRule="auto"/>
      <w:ind/>
    </w:pPr>
    <w:rPr>
      <w:color w:val="404040"/>
      <w:sz w:val="2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customStyle="1">
    <w:name w:val="Lined - Accent 4"/>
    <w:basedOn w:val="829"/>
    <w:uiPriority w:val="99"/>
    <w:pPr>
      <w:pBdr/>
      <w:spacing w:after="0" w:line="240" w:lineRule="auto"/>
      <w:ind/>
    </w:pPr>
    <w:rPr>
      <w:color w:val="404040"/>
      <w:sz w:val="2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customStyle="1">
    <w:name w:val="Lined - Accent 5"/>
    <w:basedOn w:val="829"/>
    <w:uiPriority w:val="99"/>
    <w:pPr>
      <w:pBdr/>
      <w:spacing w:after="0" w:line="240" w:lineRule="auto"/>
      <w:ind/>
    </w:pPr>
    <w:rPr>
      <w:color w:val="404040"/>
      <w:sz w:val="2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firstCol">
      <w:rPr>
        <w:rFonts w:ascii="Arial" w:hAnsi="Arial"/>
        <w:color w:val="f2f2f2"/>
        <w:sz w:val="22"/>
      </w:rPr>
      <w:pPr>
        <w:pBdr/>
        <w:spacing/>
        <w:ind/>
      </w:pPr>
      <w:tblPr>
        <w:tblBorders/>
      </w:tblPr>
      <w:tcPr>
        <w:shd w:val="clear" w:color="5b9bd5" w:themeColor="accent5" w:fill="5b9bd5" w:themeFill="accent5"/>
        <w:tcBorders/>
      </w:tcPr>
    </w:tblStylePr>
    <w:tblStylePr w:type="firstRow">
      <w:rPr>
        <w:rFonts w:ascii="Arial" w:hAnsi="Arial"/>
        <w:color w:val="f2f2f2"/>
        <w:sz w:val="22"/>
      </w:rPr>
      <w:pPr>
        <w:pBdr/>
        <w:spacing/>
        <w:ind/>
      </w:pPr>
      <w:tblPr>
        <w:tblBorders/>
      </w:tblPr>
      <w:tcPr>
        <w:shd w:val="clear" w:color="5b9bd5" w:themeColor="accent5" w:fill="5b9bd5" w:themeFill="accent5"/>
        <w:tcBorders/>
      </w:tcPr>
    </w:tblStylePr>
    <w:tblStylePr w:type="lastCol">
      <w:rPr>
        <w:rFonts w:ascii="Arial" w:hAnsi="Arial"/>
        <w:color w:val="f2f2f2"/>
        <w:sz w:val="22"/>
      </w:rPr>
      <w:pPr>
        <w:pBdr/>
        <w:spacing/>
        <w:ind/>
      </w:pPr>
      <w:tblPr>
        <w:tblBorders/>
      </w:tblPr>
      <w:tcPr>
        <w:shd w:val="clear" w:color="5b9bd5" w:themeColor="accent5" w:fill="5b9bd5" w:themeFill="accent5"/>
        <w:tcBorders/>
      </w:tcPr>
    </w:tblStylePr>
    <w:tblStylePr w:type="lastRow">
      <w:rPr>
        <w:rFonts w:ascii="Arial" w:hAnsi="Arial"/>
        <w:color w:val="f2f2f2"/>
        <w:sz w:val="22"/>
      </w:rPr>
      <w:pPr>
        <w:pBdr/>
        <w:spacing/>
        <w:ind/>
      </w:pPr>
      <w:tblPr>
        <w:tblBorders/>
      </w:tblPr>
      <w:tcPr>
        <w:shd w:val="clear" w:color="5b9bd5"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customStyle="1">
    <w:name w:val="Lined - Accent 6"/>
    <w:basedOn w:val="829"/>
    <w:uiPriority w:val="99"/>
    <w:pPr>
      <w:pBdr/>
      <w:spacing w:after="0" w:line="240" w:lineRule="auto"/>
      <w:ind/>
    </w:pPr>
    <w:rPr>
      <w:color w:val="404040"/>
      <w:sz w:val="2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customStyle="1">
    <w:name w:val="Bordered &amp; Lined - Accent"/>
    <w:basedOn w:val="829"/>
    <w:uiPriority w:val="99"/>
    <w:pPr>
      <w:pBdr/>
      <w:spacing w:after="0" w:line="240" w:lineRule="auto"/>
      <w:ind/>
    </w:pPr>
    <w:rPr>
      <w:color w:val="404040"/>
      <w:sz w:val="20"/>
      <w:lang w:val="en-US" w:eastAsia="en-US"/>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customStyle="1">
    <w:name w:val="Bordered &amp; Lined - Accent 1"/>
    <w:basedOn w:val="829"/>
    <w:uiPriority w:val="99"/>
    <w:pPr>
      <w:pBdr/>
      <w:spacing w:after="0" w:line="240" w:lineRule="auto"/>
      <w:ind/>
    </w:pPr>
    <w:rPr>
      <w:color w:val="404040"/>
      <w:sz w:val="20"/>
      <w:lang w:val="en-US" w:eastAsia="en-US"/>
    </w:rPr>
    <w:tblPr>
      <w:tblStyleRowBandSize w:val="1"/>
      <w:tblStyleColBandSize w:val="1"/>
      <w:tblBorders>
        <w:top w:val="single" w:color="254175" w:themeColor="accent1" w:themeShade="95" w:sz="4" w:space="0"/>
        <w:left w:val="single" w:color="254175" w:themeColor="accent1" w:themeShade="95" w:sz="4" w:space="0"/>
        <w:bottom w:val="single" w:color="254175" w:themeColor="accent1" w:themeShade="95" w:sz="4" w:space="0"/>
        <w:right w:val="single" w:color="254175" w:themeColor="accent1" w:themeShade="95" w:sz="4" w:space="0"/>
        <w:insideH w:val="single" w:color="254175" w:themeColor="accent1" w:themeShade="95" w:sz="4" w:space="0"/>
        <w:insideV w:val="single" w:color="254175"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band2Vert">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fir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fir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customStyle="1">
    <w:name w:val="Bordered &amp; Lined - Accent 2"/>
    <w:basedOn w:val="829"/>
    <w:uiPriority w:val="99"/>
    <w:pPr>
      <w:pBdr/>
      <w:spacing w:after="0" w:line="240" w:lineRule="auto"/>
      <w:ind/>
    </w:pPr>
    <w:rPr>
      <w:color w:val="404040"/>
      <w:sz w:val="20"/>
      <w:lang w:val="en-US" w:eastAsia="en-US"/>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customStyle="1">
    <w:name w:val="Bordered &amp; Lined - Accent 3"/>
    <w:basedOn w:val="829"/>
    <w:uiPriority w:val="99"/>
    <w:pPr>
      <w:pBdr/>
      <w:spacing w:after="0" w:line="240" w:lineRule="auto"/>
      <w:ind/>
    </w:pPr>
    <w:rPr>
      <w:color w:val="404040"/>
      <w:sz w:val="20"/>
      <w:lang w:val="en-US" w:eastAsia="en-US"/>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customStyle="1">
    <w:name w:val="Bordered &amp; Lined - Accent 4"/>
    <w:basedOn w:val="829"/>
    <w:uiPriority w:val="99"/>
    <w:pPr>
      <w:pBdr/>
      <w:spacing w:after="0" w:line="240" w:lineRule="auto"/>
      <w:ind/>
    </w:pPr>
    <w:rPr>
      <w:color w:val="404040"/>
      <w:sz w:val="20"/>
      <w:lang w:val="en-US" w:eastAsia="en-US"/>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customStyle="1">
    <w:name w:val="Bordered &amp; Lined - Accent 5"/>
    <w:basedOn w:val="829"/>
    <w:uiPriority w:val="99"/>
    <w:pPr>
      <w:pBdr/>
      <w:spacing w:after="0" w:line="240" w:lineRule="auto"/>
      <w:ind/>
    </w:pPr>
    <w:rPr>
      <w:color w:val="404040"/>
      <w:sz w:val="20"/>
      <w:lang w:val="en-US" w:eastAsia="en-US"/>
    </w:rPr>
    <w:tblPr>
      <w:tblStyleRowBandSize w:val="1"/>
      <w:tblStyleColBandSize w:val="1"/>
      <w:tblBorders>
        <w:top w:val="single" w:color="245a8d" w:themeColor="accent5" w:themeShade="95" w:sz="4" w:space="0"/>
        <w:left w:val="single" w:color="245a8d" w:themeColor="accent5" w:themeShade="95" w:sz="4" w:space="0"/>
        <w:bottom w:val="single" w:color="245a8d" w:themeColor="accent5" w:themeShade="95" w:sz="4" w:space="0"/>
        <w:right w:val="single" w:color="245a8d" w:themeColor="accent5" w:themeShade="95" w:sz="4" w:space="0"/>
        <w:insideH w:val="single" w:color="245a8d" w:themeColor="accent5" w:themeShade="95" w:sz="4" w:space="0"/>
        <w:insideV w:val="single" w:color="245a8d"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firstCol">
      <w:rPr>
        <w:rFonts w:ascii="Arial" w:hAnsi="Arial"/>
        <w:color w:val="f2f2f2"/>
        <w:sz w:val="22"/>
      </w:rPr>
      <w:pPr>
        <w:pBdr/>
        <w:spacing/>
        <w:ind/>
      </w:pPr>
      <w:tblPr>
        <w:tblBorders/>
      </w:tblPr>
      <w:tcPr>
        <w:shd w:val="clear" w:color="5b9bd5" w:themeColor="accent5" w:fill="5b9bd5" w:themeFill="accent5"/>
        <w:tcBorders/>
      </w:tcPr>
    </w:tblStylePr>
    <w:tblStylePr w:type="firstRow">
      <w:rPr>
        <w:rFonts w:ascii="Arial" w:hAnsi="Arial"/>
        <w:color w:val="f2f2f2"/>
        <w:sz w:val="22"/>
      </w:rPr>
      <w:pPr>
        <w:pBdr/>
        <w:spacing/>
        <w:ind/>
      </w:pPr>
      <w:tblPr>
        <w:tblBorders/>
      </w:tblPr>
      <w:tcPr>
        <w:shd w:val="clear" w:color="5b9bd5" w:themeColor="accent5" w:fill="5b9bd5" w:themeFill="accent5"/>
        <w:tcBorders/>
      </w:tcPr>
    </w:tblStylePr>
    <w:tblStylePr w:type="lastCol">
      <w:rPr>
        <w:rFonts w:ascii="Arial" w:hAnsi="Arial"/>
        <w:color w:val="f2f2f2"/>
        <w:sz w:val="22"/>
      </w:rPr>
      <w:pPr>
        <w:pBdr/>
        <w:spacing/>
        <w:ind/>
      </w:pPr>
      <w:tblPr>
        <w:tblBorders/>
      </w:tblPr>
      <w:tcPr>
        <w:shd w:val="clear" w:color="5b9bd5" w:themeColor="accent5" w:fill="5b9bd5" w:themeFill="accent5"/>
        <w:tcBorders/>
      </w:tcPr>
    </w:tblStylePr>
    <w:tblStylePr w:type="lastRow">
      <w:rPr>
        <w:rFonts w:ascii="Arial" w:hAnsi="Arial"/>
        <w:color w:val="f2f2f2"/>
        <w:sz w:val="22"/>
      </w:rPr>
      <w:pPr>
        <w:pBdr/>
        <w:spacing/>
        <w:ind/>
      </w:pPr>
      <w:tblPr>
        <w:tblBorders/>
      </w:tblPr>
      <w:tcPr>
        <w:shd w:val="clear" w:color="5b9bd5"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customStyle="1">
    <w:name w:val="Bordered &amp; Lined - Accent 6"/>
    <w:basedOn w:val="829"/>
    <w:uiPriority w:val="99"/>
    <w:pPr>
      <w:pBdr/>
      <w:spacing w:after="0" w:line="240" w:lineRule="auto"/>
      <w:ind/>
    </w:pPr>
    <w:rPr>
      <w:color w:val="404040"/>
      <w:sz w:val="20"/>
      <w:lang w:val="en-US" w:eastAsia="en-US"/>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customStyle="1">
    <w:name w:val="Bordered"/>
    <w:basedOn w:val="829"/>
    <w:uiPriority w:val="99"/>
    <w:pPr>
      <w:pBdr/>
      <w:spacing w:after="0" w:line="240" w:lineRule="auto"/>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customStyle="1">
    <w:name w:val="Bordered - Accent 1"/>
    <w:basedOn w:val="829"/>
    <w:uiPriority w:val="99"/>
    <w:pPr>
      <w:pBdr/>
      <w:spacing w:after="0" w:line="240" w:lineRule="auto"/>
      <w:ind/>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4472c4" w:themeColor="accent1" w:sz="12" w:space="0"/>
        </w:tcBorders>
      </w:tcPr>
    </w:tblStylePr>
    <w:tblStylePr w:type="lastCol">
      <w:rPr>
        <w:rFonts w:ascii="Arial" w:hAnsi="Arial"/>
        <w:color w:val="404040"/>
        <w:sz w:val="22"/>
      </w:rPr>
      <w:pPr>
        <w:pBdr/>
        <w:spacing/>
        <w:ind/>
      </w:pPr>
      <w:tblPr>
        <w:tblBorders/>
      </w:tblPr>
      <w:tcPr>
        <w:tcBorders>
          <w:left w:val="single" w:color="4472c4" w:themeColor="accent1" w:sz="12" w:space="0"/>
        </w:tcBorders>
      </w:tcPr>
    </w:tblStylePr>
    <w:tblStylePr w:type="lastRow">
      <w:rPr>
        <w:rFonts w:ascii="Arial" w:hAnsi="Arial"/>
        <w:color w:val="404040"/>
        <w:sz w:val="22"/>
      </w:rPr>
      <w:pPr>
        <w:pBdr/>
        <w:spacing/>
        <w:ind/>
      </w:pPr>
      <w:tblPr>
        <w:tblBorders/>
      </w:tblPr>
      <w:tcPr>
        <w:tcBorders>
          <w:top w:val="single" w:color="4472c4"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customStyle="1">
    <w:name w:val="Bordered - Accent 2"/>
    <w:basedOn w:val="829"/>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themeColor="accent2" w:themeTint="97" w:sz="12" w:space="0"/>
        </w:tcBorders>
      </w:tcPr>
    </w:tblStylePr>
    <w:tblStylePr w:type="lastCol">
      <w:rPr>
        <w:rFonts w:ascii="Arial" w:hAnsi="Arial"/>
        <w:color w:val="404040"/>
        <w:sz w:val="22"/>
      </w:rPr>
      <w:pPr>
        <w:pBdr/>
        <w:spacing/>
        <w:ind/>
      </w:pPr>
      <w:tblPr>
        <w:tblBorders/>
      </w:tblPr>
      <w:tcPr>
        <w:tcBorders>
          <w:left w:val="single" w:color="f4b184" w:themeColor="accent2" w:themeTint="97" w:sz="12" w:space="0"/>
        </w:tcBorders>
      </w:tcPr>
    </w:tblStylePr>
    <w:tblStylePr w:type="lastRow">
      <w:rPr>
        <w:rFonts w:ascii="Arial" w:hAnsi="Arial"/>
        <w:color w:val="404040"/>
        <w:sz w:val="22"/>
      </w:rPr>
      <w:pPr>
        <w:pBdr/>
        <w:spacing/>
        <w:ind/>
      </w:pPr>
      <w:tblPr>
        <w:tblBorders/>
      </w:tblPr>
      <w:tcPr>
        <w:tcBorders>
          <w:top w:val="single" w:color="f4b184"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customStyle="1">
    <w:name w:val="Bordered - Accent 3"/>
    <w:basedOn w:val="829"/>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themeColor="accent3" w:themeTint="98" w:sz="12" w:space="0"/>
        </w:tcBorders>
      </w:tcPr>
    </w:tblStylePr>
    <w:tblStylePr w:type="lastCol">
      <w:rPr>
        <w:rFonts w:ascii="Arial" w:hAnsi="Arial"/>
        <w:color w:val="404040"/>
        <w:sz w:val="22"/>
      </w:rPr>
      <w:pPr>
        <w:pBdr/>
        <w:spacing/>
        <w:ind/>
      </w:pPr>
      <w:tblPr>
        <w:tblBorders/>
      </w:tblPr>
      <w:tcPr>
        <w:tcBorders>
          <w:left w:val="single" w:color="c9c9c9" w:themeColor="accent3" w:themeTint="98" w:sz="12" w:space="0"/>
        </w:tcBorders>
      </w:tcPr>
    </w:tblStylePr>
    <w:tblStylePr w:type="lastRow">
      <w:rPr>
        <w:rFonts w:ascii="Arial" w:hAnsi="Arial"/>
        <w:color w:val="404040"/>
        <w:sz w:val="22"/>
      </w:rPr>
      <w:pPr>
        <w:pBdr/>
        <w:spacing/>
        <w:ind/>
      </w:pPr>
      <w:tblPr>
        <w:tblBorders/>
      </w:tblPr>
      <w:tcPr>
        <w:tcBorders>
          <w:top w:val="single" w:color="c9c9c9"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customStyle="1">
    <w:name w:val="Bordered - Accent 4"/>
    <w:basedOn w:val="829"/>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themeColor="accent4" w:themeTint="9A" w:sz="12" w:space="0"/>
        </w:tcBorders>
      </w:tcPr>
    </w:tblStylePr>
    <w:tblStylePr w:type="lastCol">
      <w:rPr>
        <w:rFonts w:ascii="Arial" w:hAnsi="Arial"/>
        <w:color w:val="404040"/>
        <w:sz w:val="22"/>
      </w:rPr>
      <w:pPr>
        <w:pBdr/>
        <w:spacing/>
        <w:ind/>
      </w:pPr>
      <w:tblPr>
        <w:tblBorders/>
      </w:tblPr>
      <w:tcPr>
        <w:tcBorders>
          <w:left w:val="single" w:color="ffd865" w:themeColor="accent4" w:themeTint="9A" w:sz="12" w:space="0"/>
        </w:tcBorders>
      </w:tcPr>
    </w:tblStylePr>
    <w:tblStylePr w:type="lastRow">
      <w:rPr>
        <w:rFonts w:ascii="Arial" w:hAnsi="Arial"/>
        <w:color w:val="404040"/>
        <w:sz w:val="22"/>
      </w:rPr>
      <w:pPr>
        <w:pBdr/>
        <w:spacing/>
        <w:ind/>
      </w:pPr>
      <w:tblPr>
        <w:tblBorders/>
      </w:tblPr>
      <w:tcPr>
        <w:tcBorders>
          <w:top w:val="single" w:color="ffd865"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customStyle="1">
    <w:name w:val="Bordered - Accent 5"/>
    <w:basedOn w:val="829"/>
    <w:uiPriority w:val="99"/>
    <w:pPr>
      <w:pBdr/>
      <w:spacing w:after="0" w:line="240" w:lineRule="auto"/>
      <w:ind/>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9bc2e5" w:themeColor="accent5" w:themeTint="9A" w:sz="12" w:space="0"/>
        </w:tcBorders>
      </w:tcPr>
    </w:tblStylePr>
    <w:tblStylePr w:type="lastCol">
      <w:rPr>
        <w:rFonts w:ascii="Arial" w:hAnsi="Arial"/>
        <w:color w:val="404040"/>
        <w:sz w:val="22"/>
      </w:rPr>
      <w:pPr>
        <w:pBdr/>
        <w:spacing/>
        <w:ind/>
      </w:pPr>
      <w:tblPr>
        <w:tblBorders/>
      </w:tblPr>
      <w:tcPr>
        <w:tcBorders>
          <w:left w:val="single" w:color="9bc2e5" w:themeColor="accent5" w:themeTint="9A" w:sz="12" w:space="0"/>
        </w:tcBorders>
      </w:tcPr>
    </w:tblStylePr>
    <w:tblStylePr w:type="lastRow">
      <w:rPr>
        <w:rFonts w:ascii="Arial" w:hAnsi="Arial"/>
        <w:color w:val="404040"/>
        <w:sz w:val="22"/>
      </w:rPr>
      <w:pPr>
        <w:pBdr/>
        <w:spacing/>
        <w:ind/>
      </w:pPr>
      <w:tblPr>
        <w:tblBorders/>
      </w:tblPr>
      <w:tcPr>
        <w:tcBorders>
          <w:top w:val="single" w:color="9bc2e5"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customStyle="1">
    <w:name w:val="Bordered - Accent 6"/>
    <w:basedOn w:val="829"/>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themeColor="accent6" w:themeTint="98" w:sz="12" w:space="0"/>
        </w:tcBorders>
      </w:tcPr>
    </w:tblStylePr>
    <w:tblStylePr w:type="lastCol">
      <w:rPr>
        <w:rFonts w:ascii="Arial" w:hAnsi="Arial"/>
        <w:color w:val="404040"/>
        <w:sz w:val="22"/>
      </w:rPr>
      <w:pPr>
        <w:pBdr/>
        <w:spacing/>
        <w:ind/>
      </w:pPr>
      <w:tblPr>
        <w:tblBorders/>
      </w:tblPr>
      <w:tcPr>
        <w:tcBorders>
          <w:left w:val="single" w:color="a9d08e" w:themeColor="accent6" w:themeTint="98" w:sz="12" w:space="0"/>
        </w:tcBorders>
      </w:tcPr>
    </w:tblStylePr>
    <w:tblStylePr w:type="lastRow">
      <w:rPr>
        <w:rFonts w:ascii="Arial" w:hAnsi="Arial"/>
        <w:color w:val="404040"/>
        <w:sz w:val="22"/>
      </w:rPr>
      <w:pPr>
        <w:pBdr/>
        <w:spacing/>
        <w:ind/>
      </w:pPr>
      <w:tblPr>
        <w:tblBorders/>
      </w:tblPr>
      <w:tcPr>
        <w:tcBorders>
          <w:top w:val="single" w:color="a9d08e"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56" w:customStyle="1">
    <w:name w:val="Heading 1 Char"/>
    <w:basedOn w:val="828"/>
    <w:link w:val="819"/>
    <w:uiPriority w:val="9"/>
    <w:pPr>
      <w:pBdr/>
      <w:spacing/>
      <w:ind/>
    </w:pPr>
    <w:rPr>
      <w:rFonts w:ascii="Arial" w:hAnsi="Arial" w:eastAsia="Arial" w:cs="Arial"/>
      <w:color w:val="2f5496" w:themeColor="accent1" w:themeShade="BF"/>
      <w:sz w:val="40"/>
      <w:szCs w:val="40"/>
    </w:rPr>
  </w:style>
  <w:style w:type="character" w:styleId="957" w:customStyle="1">
    <w:name w:val="Heading 2 Char"/>
    <w:basedOn w:val="828"/>
    <w:link w:val="820"/>
    <w:uiPriority w:val="9"/>
    <w:pPr>
      <w:pBdr/>
      <w:spacing/>
      <w:ind/>
    </w:pPr>
    <w:rPr>
      <w:rFonts w:ascii="Arial" w:hAnsi="Arial" w:eastAsia="Arial" w:cs="Arial"/>
      <w:color w:val="2f5496" w:themeColor="accent1" w:themeShade="BF"/>
      <w:sz w:val="32"/>
      <w:szCs w:val="32"/>
    </w:rPr>
  </w:style>
  <w:style w:type="character" w:styleId="958" w:customStyle="1">
    <w:name w:val="Heading 3 Char"/>
    <w:basedOn w:val="828"/>
    <w:link w:val="821"/>
    <w:uiPriority w:val="9"/>
    <w:pPr>
      <w:pBdr/>
      <w:spacing/>
      <w:ind/>
    </w:pPr>
    <w:rPr>
      <w:rFonts w:ascii="Arial" w:hAnsi="Arial" w:eastAsia="Arial" w:cs="Arial"/>
      <w:color w:val="2f5496" w:themeColor="accent1" w:themeShade="BF"/>
      <w:sz w:val="28"/>
      <w:szCs w:val="28"/>
    </w:rPr>
  </w:style>
  <w:style w:type="character" w:styleId="959" w:customStyle="1">
    <w:name w:val="Heading 4 Char"/>
    <w:basedOn w:val="828"/>
    <w:link w:val="822"/>
    <w:uiPriority w:val="9"/>
    <w:pPr>
      <w:pBdr/>
      <w:spacing/>
      <w:ind/>
    </w:pPr>
    <w:rPr>
      <w:rFonts w:ascii="Arial" w:hAnsi="Arial" w:eastAsia="Arial" w:cs="Arial"/>
      <w:i/>
      <w:iCs/>
      <w:color w:val="2f5496" w:themeColor="accent1" w:themeShade="BF"/>
    </w:rPr>
  </w:style>
  <w:style w:type="character" w:styleId="960" w:customStyle="1">
    <w:name w:val="Heading 5 Char"/>
    <w:basedOn w:val="828"/>
    <w:link w:val="823"/>
    <w:uiPriority w:val="9"/>
    <w:pPr>
      <w:pBdr/>
      <w:spacing/>
      <w:ind/>
    </w:pPr>
    <w:rPr>
      <w:rFonts w:ascii="Arial" w:hAnsi="Arial" w:eastAsia="Arial" w:cs="Arial"/>
      <w:color w:val="2f5496" w:themeColor="accent1" w:themeShade="BF"/>
    </w:rPr>
  </w:style>
  <w:style w:type="character" w:styleId="961" w:customStyle="1">
    <w:name w:val="Heading 6 Char"/>
    <w:basedOn w:val="828"/>
    <w:link w:val="824"/>
    <w:uiPriority w:val="9"/>
    <w:pPr>
      <w:pBdr/>
      <w:spacing/>
      <w:ind/>
    </w:pPr>
    <w:rPr>
      <w:rFonts w:ascii="Arial" w:hAnsi="Arial" w:eastAsia="Arial" w:cs="Arial"/>
      <w:i/>
      <w:iCs/>
      <w:color w:val="595959" w:themeColor="text1" w:themeTint="A6"/>
    </w:rPr>
  </w:style>
  <w:style w:type="character" w:styleId="962" w:customStyle="1">
    <w:name w:val="Heading 7 Char"/>
    <w:basedOn w:val="828"/>
    <w:link w:val="825"/>
    <w:uiPriority w:val="9"/>
    <w:pPr>
      <w:pBdr/>
      <w:spacing/>
      <w:ind/>
    </w:pPr>
    <w:rPr>
      <w:rFonts w:ascii="Arial" w:hAnsi="Arial" w:eastAsia="Arial" w:cs="Arial"/>
      <w:color w:val="595959" w:themeColor="text1" w:themeTint="A6"/>
    </w:rPr>
  </w:style>
  <w:style w:type="character" w:styleId="963" w:customStyle="1">
    <w:name w:val="Heading 8 Char"/>
    <w:basedOn w:val="828"/>
    <w:link w:val="826"/>
    <w:uiPriority w:val="9"/>
    <w:pPr>
      <w:pBdr/>
      <w:spacing/>
      <w:ind/>
    </w:pPr>
    <w:rPr>
      <w:rFonts w:ascii="Arial" w:hAnsi="Arial" w:eastAsia="Arial" w:cs="Arial"/>
      <w:i/>
      <w:iCs/>
      <w:color w:val="272727" w:themeColor="text1" w:themeTint="D8"/>
    </w:rPr>
  </w:style>
  <w:style w:type="character" w:styleId="964" w:customStyle="1">
    <w:name w:val="Heading 9 Char"/>
    <w:basedOn w:val="828"/>
    <w:link w:val="827"/>
    <w:uiPriority w:val="9"/>
    <w:pPr>
      <w:pBdr/>
      <w:spacing/>
      <w:ind/>
    </w:pPr>
    <w:rPr>
      <w:rFonts w:ascii="Arial" w:hAnsi="Arial" w:eastAsia="Arial" w:cs="Arial"/>
      <w:i/>
      <w:iCs/>
      <w:color w:val="272727" w:themeColor="text1" w:themeTint="D8"/>
    </w:rPr>
  </w:style>
  <w:style w:type="paragraph" w:styleId="965">
    <w:name w:val="Title"/>
    <w:basedOn w:val="818"/>
    <w:next w:val="818"/>
    <w:link w:val="966"/>
    <w:uiPriority w:val="10"/>
    <w:qFormat/>
    <w:pPr>
      <w:pBdr/>
      <w:spacing w:after="80" w:line="240" w:lineRule="auto"/>
      <w:ind/>
      <w:contextualSpacing w:val="true"/>
    </w:pPr>
    <w:rPr>
      <w:rFonts w:ascii="Arial" w:hAnsi="Arial" w:eastAsia="Arial" w:cs="Arial"/>
      <w:spacing w:val="-10"/>
      <w:sz w:val="56"/>
      <w:szCs w:val="56"/>
    </w:rPr>
  </w:style>
  <w:style w:type="character" w:styleId="966" w:customStyle="1">
    <w:name w:val="Title Char"/>
    <w:basedOn w:val="828"/>
    <w:link w:val="965"/>
    <w:uiPriority w:val="10"/>
    <w:pPr>
      <w:pBdr/>
      <w:spacing/>
      <w:ind/>
    </w:pPr>
    <w:rPr>
      <w:rFonts w:ascii="Arial" w:hAnsi="Arial" w:eastAsia="Arial" w:cs="Arial"/>
      <w:spacing w:val="-10"/>
      <w:sz w:val="56"/>
      <w:szCs w:val="56"/>
    </w:rPr>
  </w:style>
  <w:style w:type="paragraph" w:styleId="967">
    <w:name w:val="Subtitle"/>
    <w:basedOn w:val="818"/>
    <w:next w:val="818"/>
    <w:link w:val="968"/>
    <w:uiPriority w:val="11"/>
    <w:qFormat/>
    <w:pPr>
      <w:numPr>
        <w:ilvl w:val="1"/>
      </w:numPr>
      <w:pBdr/>
      <w:spacing/>
      <w:ind/>
    </w:pPr>
    <w:rPr>
      <w:color w:val="595959" w:themeColor="text1" w:themeTint="A6"/>
      <w:spacing w:val="15"/>
      <w:sz w:val="28"/>
      <w:szCs w:val="28"/>
    </w:rPr>
  </w:style>
  <w:style w:type="character" w:styleId="968" w:customStyle="1">
    <w:name w:val="Subtitle Char"/>
    <w:basedOn w:val="828"/>
    <w:link w:val="967"/>
    <w:uiPriority w:val="11"/>
    <w:pPr>
      <w:pBdr/>
      <w:spacing/>
      <w:ind/>
    </w:pPr>
    <w:rPr>
      <w:color w:val="595959" w:themeColor="text1" w:themeTint="A6"/>
      <w:spacing w:val="15"/>
      <w:sz w:val="28"/>
      <w:szCs w:val="28"/>
    </w:rPr>
  </w:style>
  <w:style w:type="paragraph" w:styleId="969">
    <w:name w:val="Quote"/>
    <w:basedOn w:val="818"/>
    <w:next w:val="818"/>
    <w:link w:val="970"/>
    <w:uiPriority w:val="29"/>
    <w:qFormat/>
    <w:pPr>
      <w:pBdr/>
      <w:spacing w:before="160"/>
      <w:ind/>
      <w:jc w:val="center"/>
    </w:pPr>
    <w:rPr>
      <w:i/>
      <w:iCs/>
      <w:color w:val="404040" w:themeColor="text1" w:themeTint="BF"/>
    </w:rPr>
  </w:style>
  <w:style w:type="character" w:styleId="970" w:customStyle="1">
    <w:name w:val="Quote Char"/>
    <w:basedOn w:val="828"/>
    <w:link w:val="969"/>
    <w:uiPriority w:val="29"/>
    <w:pPr>
      <w:pBdr/>
      <w:spacing/>
      <w:ind/>
    </w:pPr>
    <w:rPr>
      <w:i/>
      <w:iCs/>
      <w:color w:val="404040" w:themeColor="text1" w:themeTint="BF"/>
    </w:rPr>
  </w:style>
  <w:style w:type="character" w:styleId="971">
    <w:name w:val="Intense Emphasis"/>
    <w:basedOn w:val="828"/>
    <w:uiPriority w:val="21"/>
    <w:qFormat/>
    <w:pPr>
      <w:pBdr/>
      <w:spacing/>
      <w:ind/>
    </w:pPr>
    <w:rPr>
      <w:i/>
      <w:iCs/>
      <w:color w:val="2f5496" w:themeColor="accent1" w:themeShade="BF"/>
    </w:rPr>
  </w:style>
  <w:style w:type="paragraph" w:styleId="972">
    <w:name w:val="Intense Quote"/>
    <w:basedOn w:val="818"/>
    <w:next w:val="818"/>
    <w:link w:val="973"/>
    <w:uiPriority w:val="30"/>
    <w:qFormat/>
    <w:pPr>
      <w:pBdr>
        <w:top w:val="single" w:color="2f5496" w:themeColor="accent1" w:themeShade="BF" w:sz="4" w:space="10"/>
        <w:bottom w:val="single" w:color="2f5496" w:themeColor="accent1" w:themeShade="BF" w:sz="4" w:space="10"/>
      </w:pBdr>
      <w:spacing w:after="360" w:before="360"/>
      <w:ind w:right="864" w:left="864"/>
      <w:jc w:val="center"/>
    </w:pPr>
    <w:rPr>
      <w:i/>
      <w:iCs/>
      <w:color w:val="2f5496" w:themeColor="accent1" w:themeShade="BF"/>
    </w:rPr>
  </w:style>
  <w:style w:type="character" w:styleId="973" w:customStyle="1">
    <w:name w:val="Intense Quote Char"/>
    <w:basedOn w:val="828"/>
    <w:link w:val="972"/>
    <w:uiPriority w:val="30"/>
    <w:pPr>
      <w:pBdr/>
      <w:spacing/>
      <w:ind/>
    </w:pPr>
    <w:rPr>
      <w:i/>
      <w:iCs/>
      <w:color w:val="2f5496" w:themeColor="accent1" w:themeShade="BF"/>
    </w:rPr>
  </w:style>
  <w:style w:type="character" w:styleId="974">
    <w:name w:val="Intense Reference"/>
    <w:basedOn w:val="828"/>
    <w:uiPriority w:val="32"/>
    <w:qFormat/>
    <w:pPr>
      <w:pBdr/>
      <w:spacing/>
      <w:ind/>
    </w:pPr>
    <w:rPr>
      <w:b/>
      <w:bCs/>
      <w:smallCaps/>
      <w:color w:val="2f5496" w:themeColor="accent1" w:themeShade="BF"/>
      <w:spacing w:val="5"/>
    </w:rPr>
  </w:style>
  <w:style w:type="paragraph" w:styleId="975">
    <w:name w:val="No Spacing"/>
    <w:basedOn w:val="818"/>
    <w:uiPriority w:val="1"/>
    <w:qFormat/>
    <w:pPr>
      <w:pBdr/>
      <w:spacing w:after="0" w:line="240" w:lineRule="auto"/>
      <w:ind/>
    </w:pPr>
  </w:style>
  <w:style w:type="character" w:styleId="976">
    <w:name w:val="Subtle Emphasis"/>
    <w:basedOn w:val="828"/>
    <w:uiPriority w:val="19"/>
    <w:qFormat/>
    <w:pPr>
      <w:pBdr/>
      <w:spacing/>
      <w:ind/>
    </w:pPr>
    <w:rPr>
      <w:i/>
      <w:iCs/>
      <w:color w:val="404040" w:themeColor="text1" w:themeTint="BF"/>
    </w:rPr>
  </w:style>
  <w:style w:type="character" w:styleId="977">
    <w:name w:val="Emphasis"/>
    <w:basedOn w:val="828"/>
    <w:uiPriority w:val="20"/>
    <w:qFormat/>
    <w:pPr>
      <w:pBdr/>
      <w:spacing/>
      <w:ind/>
    </w:pPr>
    <w:rPr>
      <w:i/>
      <w:iCs/>
    </w:rPr>
  </w:style>
  <w:style w:type="character" w:styleId="978">
    <w:name w:val="Strong"/>
    <w:basedOn w:val="828"/>
    <w:uiPriority w:val="22"/>
    <w:qFormat/>
    <w:pPr>
      <w:pBdr/>
      <w:spacing/>
      <w:ind/>
    </w:pPr>
    <w:rPr>
      <w:b/>
      <w:bCs/>
    </w:rPr>
  </w:style>
  <w:style w:type="character" w:styleId="979">
    <w:name w:val="Subtle Reference"/>
    <w:basedOn w:val="828"/>
    <w:uiPriority w:val="31"/>
    <w:qFormat/>
    <w:pPr>
      <w:pBdr/>
      <w:spacing/>
      <w:ind/>
    </w:pPr>
    <w:rPr>
      <w:smallCaps/>
      <w:color w:val="5a5a5a" w:themeColor="text1" w:themeTint="A5"/>
    </w:rPr>
  </w:style>
  <w:style w:type="character" w:styleId="980">
    <w:name w:val="Book Title"/>
    <w:basedOn w:val="828"/>
    <w:uiPriority w:val="33"/>
    <w:qFormat/>
    <w:pPr>
      <w:pBdr/>
      <w:spacing/>
      <w:ind/>
    </w:pPr>
    <w:rPr>
      <w:b/>
      <w:bCs/>
      <w:i/>
      <w:iCs/>
      <w:spacing w:val="5"/>
    </w:rPr>
  </w:style>
  <w:style w:type="paragraph" w:styleId="981">
    <w:name w:val="Caption"/>
    <w:basedOn w:val="818"/>
    <w:next w:val="818"/>
    <w:uiPriority w:val="35"/>
    <w:unhideWhenUsed/>
    <w:qFormat/>
    <w:pPr>
      <w:pBdr/>
      <w:spacing w:after="200" w:line="240" w:lineRule="auto"/>
      <w:ind/>
    </w:pPr>
    <w:rPr>
      <w:i/>
      <w:iCs/>
      <w:color w:val="44546a" w:themeColor="text2"/>
      <w:sz w:val="18"/>
      <w:szCs w:val="18"/>
    </w:rPr>
  </w:style>
  <w:style w:type="paragraph" w:styleId="982">
    <w:name w:val="endnote text"/>
    <w:basedOn w:val="818"/>
    <w:link w:val="983"/>
    <w:uiPriority w:val="99"/>
    <w:semiHidden/>
    <w:unhideWhenUsed/>
    <w:pPr>
      <w:pBdr/>
      <w:spacing w:after="0" w:line="240" w:lineRule="auto"/>
      <w:ind/>
    </w:pPr>
    <w:rPr>
      <w:sz w:val="20"/>
    </w:rPr>
  </w:style>
  <w:style w:type="character" w:styleId="983" w:customStyle="1">
    <w:name w:val="Endnote Text Char"/>
    <w:basedOn w:val="828"/>
    <w:link w:val="982"/>
    <w:uiPriority w:val="99"/>
    <w:semiHidden/>
    <w:pPr>
      <w:pBdr/>
      <w:spacing/>
      <w:ind/>
    </w:pPr>
    <w:rPr>
      <w:sz w:val="20"/>
      <w:szCs w:val="20"/>
    </w:rPr>
  </w:style>
  <w:style w:type="character" w:styleId="984">
    <w:name w:val="endnote reference"/>
    <w:basedOn w:val="828"/>
    <w:uiPriority w:val="99"/>
    <w:semiHidden/>
    <w:unhideWhenUsed/>
    <w:pPr>
      <w:pBdr/>
      <w:spacing/>
      <w:ind/>
    </w:pPr>
    <w:rPr>
      <w:vertAlign w:val="superscript"/>
    </w:rPr>
  </w:style>
  <w:style w:type="character" w:styleId="985">
    <w:name w:val="Hyperlink"/>
    <w:basedOn w:val="828"/>
    <w:uiPriority w:val="99"/>
    <w:unhideWhenUsed/>
    <w:pPr>
      <w:pBdr/>
      <w:spacing/>
      <w:ind/>
    </w:pPr>
    <w:rPr>
      <w:color w:val="0563c1" w:themeColor="hyperlink"/>
      <w:u w:val="single"/>
    </w:rPr>
  </w:style>
  <w:style w:type="character" w:styleId="986">
    <w:name w:val="FollowedHyperlink"/>
    <w:basedOn w:val="828"/>
    <w:uiPriority w:val="99"/>
    <w:semiHidden/>
    <w:unhideWhenUsed/>
    <w:pPr>
      <w:pBdr/>
      <w:spacing/>
      <w:ind/>
    </w:pPr>
    <w:rPr>
      <w:color w:val="954f72" w:themeColor="followedHyperlink"/>
      <w:u w:val="single"/>
    </w:rPr>
  </w:style>
  <w:style w:type="paragraph" w:styleId="987">
    <w:name w:val="toc 1"/>
    <w:basedOn w:val="818"/>
    <w:next w:val="818"/>
    <w:uiPriority w:val="39"/>
    <w:unhideWhenUsed/>
    <w:pPr>
      <w:pBdr/>
      <w:spacing w:after="100"/>
      <w:ind/>
    </w:pPr>
  </w:style>
  <w:style w:type="paragraph" w:styleId="988">
    <w:name w:val="toc 2"/>
    <w:basedOn w:val="818"/>
    <w:next w:val="818"/>
    <w:uiPriority w:val="39"/>
    <w:unhideWhenUsed/>
    <w:pPr>
      <w:pBdr/>
      <w:spacing w:after="100"/>
      <w:ind w:left="220"/>
    </w:pPr>
  </w:style>
  <w:style w:type="paragraph" w:styleId="989">
    <w:name w:val="toc 3"/>
    <w:basedOn w:val="818"/>
    <w:next w:val="818"/>
    <w:uiPriority w:val="39"/>
    <w:unhideWhenUsed/>
    <w:pPr>
      <w:pBdr/>
      <w:spacing w:after="100"/>
      <w:ind w:left="440"/>
    </w:pPr>
  </w:style>
  <w:style w:type="paragraph" w:styleId="990">
    <w:name w:val="toc 4"/>
    <w:basedOn w:val="818"/>
    <w:next w:val="818"/>
    <w:uiPriority w:val="39"/>
    <w:unhideWhenUsed/>
    <w:pPr>
      <w:pBdr/>
      <w:spacing w:after="100"/>
      <w:ind w:left="660"/>
    </w:pPr>
  </w:style>
  <w:style w:type="paragraph" w:styleId="991">
    <w:name w:val="toc 5"/>
    <w:basedOn w:val="818"/>
    <w:next w:val="818"/>
    <w:uiPriority w:val="39"/>
    <w:unhideWhenUsed/>
    <w:pPr>
      <w:pBdr/>
      <w:spacing w:after="100"/>
      <w:ind w:left="880"/>
    </w:pPr>
  </w:style>
  <w:style w:type="paragraph" w:styleId="992">
    <w:name w:val="toc 6"/>
    <w:basedOn w:val="818"/>
    <w:next w:val="818"/>
    <w:uiPriority w:val="39"/>
    <w:unhideWhenUsed/>
    <w:pPr>
      <w:pBdr/>
      <w:spacing w:after="100"/>
      <w:ind w:left="1100"/>
    </w:pPr>
  </w:style>
  <w:style w:type="paragraph" w:styleId="993">
    <w:name w:val="toc 7"/>
    <w:basedOn w:val="818"/>
    <w:next w:val="818"/>
    <w:uiPriority w:val="39"/>
    <w:unhideWhenUsed/>
    <w:pPr>
      <w:pBdr/>
      <w:spacing w:after="100"/>
      <w:ind w:left="1320"/>
    </w:pPr>
  </w:style>
  <w:style w:type="paragraph" w:styleId="994">
    <w:name w:val="toc 8"/>
    <w:basedOn w:val="818"/>
    <w:next w:val="818"/>
    <w:uiPriority w:val="39"/>
    <w:unhideWhenUsed/>
    <w:pPr>
      <w:pBdr/>
      <w:spacing w:after="100"/>
      <w:ind w:left="1540"/>
    </w:pPr>
  </w:style>
  <w:style w:type="paragraph" w:styleId="995">
    <w:name w:val="toc 9"/>
    <w:basedOn w:val="818"/>
    <w:next w:val="818"/>
    <w:uiPriority w:val="39"/>
    <w:unhideWhenUsed/>
    <w:pPr>
      <w:pBdr/>
      <w:spacing w:after="100"/>
      <w:ind w:left="1760"/>
    </w:pPr>
  </w:style>
  <w:style w:type="character" w:styleId="996">
    <w:name w:val="Placeholder Text"/>
    <w:basedOn w:val="828"/>
    <w:uiPriority w:val="99"/>
    <w:semiHidden/>
    <w:pPr>
      <w:pBdr/>
      <w:spacing/>
      <w:ind/>
    </w:pPr>
    <w:rPr>
      <w:color w:val="666666"/>
    </w:rPr>
  </w:style>
  <w:style w:type="paragraph" w:styleId="997">
    <w:name w:val="TOC Heading"/>
    <w:uiPriority w:val="39"/>
    <w:unhideWhenUsed/>
    <w:pPr>
      <w:pBdr/>
      <w:spacing/>
      <w:ind/>
    </w:pPr>
  </w:style>
  <w:style w:type="paragraph" w:styleId="998">
    <w:name w:val="table of figures"/>
    <w:basedOn w:val="818"/>
    <w:next w:val="818"/>
    <w:uiPriority w:val="99"/>
    <w:unhideWhenUsed/>
    <w:pPr>
      <w:pBdr/>
      <w:spacing w:after="0"/>
      <w:ind/>
    </w:pPr>
  </w:style>
  <w:style w:type="paragraph" w:styleId="999">
    <w:name w:val="Header"/>
    <w:basedOn w:val="818"/>
    <w:link w:val="1000"/>
    <w:uiPriority w:val="99"/>
    <w:unhideWhenUsed/>
    <w:pPr>
      <w:pBdr/>
      <w:tabs>
        <w:tab w:val="center" w:leader="none" w:pos="4677"/>
        <w:tab w:val="right" w:leader="none" w:pos="9355"/>
      </w:tabs>
      <w:spacing w:after="0" w:line="240" w:lineRule="auto"/>
      <w:ind/>
    </w:pPr>
  </w:style>
  <w:style w:type="character" w:styleId="1000" w:customStyle="1">
    <w:name w:val="Header Char"/>
    <w:basedOn w:val="828"/>
    <w:link w:val="999"/>
    <w:uiPriority w:val="99"/>
    <w:pPr>
      <w:pBdr/>
      <w:spacing/>
      <w:ind/>
    </w:pPr>
  </w:style>
  <w:style w:type="paragraph" w:styleId="1001">
    <w:name w:val="Footer"/>
    <w:basedOn w:val="818"/>
    <w:link w:val="1002"/>
    <w:uiPriority w:val="99"/>
    <w:unhideWhenUsed/>
    <w:pPr>
      <w:pBdr/>
      <w:tabs>
        <w:tab w:val="center" w:leader="none" w:pos="4677"/>
        <w:tab w:val="right" w:leader="none" w:pos="9355"/>
      </w:tabs>
      <w:spacing w:after="0" w:line="240" w:lineRule="auto"/>
      <w:ind/>
    </w:pPr>
  </w:style>
  <w:style w:type="character" w:styleId="1002" w:customStyle="1">
    <w:name w:val="Footer Char"/>
    <w:basedOn w:val="828"/>
    <w:link w:val="1001"/>
    <w:uiPriority w:val="99"/>
    <w:pPr>
      <w:pBdr/>
      <w:spacing/>
      <w:ind/>
    </w:pPr>
  </w:style>
  <w:style w:type="table" w:styleId="1003">
    <w:name w:val="Table Grid"/>
    <w:basedOn w:val="829"/>
    <w:uiPriority w:val="59"/>
    <w:pPr>
      <w:pBdr/>
      <w:spacing w:after="0" w:line="240" w:lineRule="auto"/>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004" w:customStyle="1">
    <w:name w:val="P68B1DB1-Normal2"/>
    <w:basedOn w:val="818"/>
    <w:pPr>
      <w:pBdr/>
      <w:spacing/>
      <w:ind/>
    </w:pPr>
    <w:rPr>
      <w:b/>
      <w:highlight w:val="lightGray"/>
    </w:rPr>
  </w:style>
  <w:style w:type="paragraph" w:styleId="1005">
    <w:name w:val="footnote text"/>
    <w:basedOn w:val="818"/>
    <w:link w:val="1006"/>
    <w:uiPriority w:val="99"/>
    <w:semiHidden/>
    <w:unhideWhenUsed/>
    <w:pPr>
      <w:pBdr/>
      <w:spacing w:after="0" w:line="240" w:lineRule="auto"/>
      <w:ind/>
    </w:pPr>
    <w:rPr>
      <w:sz w:val="20"/>
    </w:rPr>
  </w:style>
  <w:style w:type="character" w:styleId="1006" w:customStyle="1">
    <w:name w:val="Footnote Text Char"/>
    <w:basedOn w:val="828"/>
    <w:link w:val="1005"/>
    <w:uiPriority w:val="99"/>
    <w:semiHidden/>
    <w:pPr>
      <w:pBdr/>
      <w:spacing/>
      <w:ind/>
    </w:pPr>
    <w:rPr>
      <w:sz w:val="20"/>
    </w:rPr>
  </w:style>
  <w:style w:type="character" w:styleId="1007">
    <w:name w:val="footnote reference"/>
    <w:basedOn w:val="828"/>
    <w:uiPriority w:val="99"/>
    <w:semiHidden/>
    <w:unhideWhenUsed/>
    <w:pPr>
      <w:pBdr/>
      <w:spacing/>
      <w:ind/>
    </w:pPr>
    <w:rPr>
      <w:vertAlign w:val="superscript"/>
    </w:rPr>
  </w:style>
  <w:style w:type="paragraph" w:styleId="1008">
    <w:name w:val="List Paragraph"/>
    <w:basedOn w:val="818"/>
    <w:uiPriority w:val="34"/>
    <w:qFormat/>
    <w:pPr>
      <w:pBdr/>
      <w:spacing w:line="256" w:lineRule="auto"/>
      <w:ind w:left="720"/>
      <w:contextualSpacing w:val="true"/>
    </w:pPr>
  </w:style>
  <w:style w:type="character" w:styleId="1009">
    <w:name w:val="annotation reference"/>
    <w:basedOn w:val="828"/>
    <w:uiPriority w:val="99"/>
    <w:semiHidden/>
    <w:unhideWhenUsed/>
    <w:pPr>
      <w:pBdr/>
      <w:spacing/>
      <w:ind/>
    </w:pPr>
    <w:rPr>
      <w:sz w:val="16"/>
    </w:rPr>
  </w:style>
  <w:style w:type="paragraph" w:styleId="1010">
    <w:name w:val="annotation text"/>
    <w:basedOn w:val="818"/>
    <w:link w:val="1011"/>
    <w:uiPriority w:val="99"/>
    <w:semiHidden/>
    <w:unhideWhenUsed/>
    <w:pPr>
      <w:pBdr/>
      <w:spacing w:line="240" w:lineRule="auto"/>
      <w:ind/>
    </w:pPr>
    <w:rPr>
      <w:sz w:val="20"/>
    </w:rPr>
  </w:style>
  <w:style w:type="character" w:styleId="1011" w:customStyle="1">
    <w:name w:val="Comment Text Char"/>
    <w:basedOn w:val="828"/>
    <w:link w:val="1010"/>
    <w:uiPriority w:val="99"/>
    <w:semiHidden/>
    <w:pPr>
      <w:pBdr/>
      <w:spacing/>
      <w:ind/>
    </w:pPr>
    <w:rPr>
      <w:sz w:val="20"/>
    </w:rPr>
  </w:style>
  <w:style w:type="paragraph" w:styleId="1012">
    <w:name w:val="annotation subject"/>
    <w:basedOn w:val="1010"/>
    <w:next w:val="1010"/>
    <w:link w:val="1013"/>
    <w:uiPriority w:val="99"/>
    <w:semiHidden/>
    <w:unhideWhenUsed/>
    <w:pPr>
      <w:pBdr/>
      <w:spacing/>
      <w:ind/>
    </w:pPr>
    <w:rPr>
      <w:b/>
    </w:rPr>
  </w:style>
  <w:style w:type="character" w:styleId="1013" w:customStyle="1">
    <w:name w:val="Comment Subject Char"/>
    <w:basedOn w:val="1011"/>
    <w:link w:val="1012"/>
    <w:uiPriority w:val="99"/>
    <w:semiHidden/>
    <w:pPr>
      <w:pBdr/>
      <w:spacing/>
      <w:ind/>
    </w:pPr>
    <w:rPr>
      <w:b/>
      <w:sz w:val="20"/>
    </w:rPr>
  </w:style>
  <w:style w:type="paragraph" w:styleId="1014">
    <w:name w:val="Balloon Text"/>
    <w:basedOn w:val="818"/>
    <w:link w:val="1015"/>
    <w:uiPriority w:val="99"/>
    <w:semiHidden/>
    <w:unhideWhenUsed/>
    <w:pPr>
      <w:pBdr/>
      <w:spacing w:after="0" w:line="240" w:lineRule="auto"/>
      <w:ind/>
    </w:pPr>
    <w:rPr>
      <w:rFonts w:ascii="Segoe UI" w:hAnsi="Segoe UI" w:cs="Segoe UI"/>
      <w:sz w:val="18"/>
    </w:rPr>
  </w:style>
  <w:style w:type="character" w:styleId="1015" w:customStyle="1">
    <w:name w:val="Balloon Text Char"/>
    <w:basedOn w:val="828"/>
    <w:link w:val="1014"/>
    <w:uiPriority w:val="99"/>
    <w:semiHidden/>
    <w:pPr>
      <w:pBdr/>
      <w:spacing/>
      <w:ind/>
    </w:pPr>
    <w:rPr>
      <w:rFonts w:ascii="Segoe UI" w:hAnsi="Segoe UI" w:cs="Segoe UI"/>
      <w:sz w:val="18"/>
    </w:rPr>
  </w:style>
  <w:style w:type="paragraph" w:styleId="1016" w:customStyle="1">
    <w:name w:val="P68B1DB1-Normal1"/>
    <w:basedOn w:val="818"/>
    <w:pPr>
      <w:pBdr/>
      <w:spacing/>
      <w:ind/>
    </w:pPr>
    <w:rPr>
      <w:rFonts w:ascii="Arial" w:hAnsi="Arial" w:eastAsia="Calibri" w:cs="Arial"/>
      <w:b/>
      <w:color w:val="000000" w:themeColor="text1"/>
    </w:rPr>
  </w:style>
  <w:style w:type="paragraph" w:styleId="1017" w:customStyle="1">
    <w:name w:val="P68B1DB1-Normal3"/>
    <w:basedOn w:val="818"/>
    <w:pPr>
      <w:pBdr/>
      <w:spacing/>
      <w:ind/>
    </w:pPr>
    <w:rPr>
      <w:rFonts w:ascii="Arial" w:hAnsi="Arial" w:eastAsia="Calibri" w:cs="Arial"/>
    </w:rPr>
  </w:style>
  <w:style w:type="paragraph" w:styleId="1018" w:customStyle="1">
    <w:name w:val="P68B1DB1-Normal4"/>
    <w:basedOn w:val="818"/>
    <w:pPr>
      <w:pBdr/>
      <w:spacing/>
      <w:ind/>
    </w:pPr>
    <w:rPr>
      <w:rFonts w:ascii="Arial" w:hAnsi="Arial" w:eastAsia="Calibri" w:cs="Arial"/>
      <w:color w:val="000000" w:themeColor="text1"/>
    </w:rPr>
  </w:style>
  <w:style w:type="paragraph" w:styleId="1019" w:customStyle="1">
    <w:name w:val="P68B1DB1-Normal5"/>
    <w:basedOn w:val="818"/>
    <w:pPr>
      <w:pBdr/>
      <w:spacing/>
      <w:ind/>
    </w:pPr>
    <w:rPr>
      <w:rFonts w:ascii="Arial" w:hAnsi="Arial" w:cs="Arial"/>
      <w:color w:val="000000" w:themeColor="text1"/>
    </w:rPr>
  </w:style>
  <w:style w:type="paragraph" w:styleId="1020" w:customStyle="1">
    <w:name w:val="P68B1DB1-Normal6"/>
    <w:basedOn w:val="818"/>
    <w:pPr>
      <w:pBdr/>
      <w:spacing/>
      <w:ind/>
    </w:pPr>
    <w:rPr>
      <w:rFonts w:ascii="Arial" w:hAnsi="Arial" w:cs="Arial"/>
      <w:b/>
      <w:i/>
      <w:highlight w:val="yellow"/>
    </w:rPr>
  </w:style>
  <w:style w:type="paragraph" w:styleId="1021" w:customStyle="1">
    <w:name w:val="P68B1DB1-Normal7"/>
    <w:basedOn w:val="818"/>
    <w:pPr>
      <w:pBdr/>
      <w:spacing/>
      <w:ind/>
    </w:pPr>
    <w:rPr>
      <w:rFonts w:ascii="Arial" w:hAnsi="Arial" w:cs="Arial"/>
    </w:rPr>
  </w:style>
  <w:style w:type="paragraph" w:styleId="1022" w:customStyle="1">
    <w:name w:val="P68B1DB1-Normal8"/>
    <w:basedOn w:val="818"/>
    <w:pPr>
      <w:pBdr/>
      <w:spacing/>
      <w:ind/>
    </w:pPr>
    <w:rPr>
      <w:rFonts w:ascii="Arial" w:hAnsi="Arial" w:cs="Arial"/>
      <w:b/>
      <w:i/>
    </w:rPr>
  </w:style>
  <w:style w:type="paragraph" w:styleId="1023" w:customStyle="1">
    <w:name w:val="P68B1DB1-Normal9"/>
    <w:basedOn w:val="818"/>
    <w:pPr>
      <w:pBdr/>
      <w:spacing/>
      <w:ind/>
    </w:pPr>
    <w:rPr>
      <w:rFonts w:ascii="Arial" w:hAnsi="Arial" w:eastAsia="Times New Roman" w:cs="Arial"/>
    </w:rPr>
  </w:style>
  <w:style w:type="paragraph" w:styleId="1024" w:customStyle="1">
    <w:name w:val="P68B1DB1-P68B1DB1-Normal210"/>
    <w:basedOn w:val="1004"/>
    <w:pPr>
      <w:pBdr/>
      <w:spacing/>
      <w:ind/>
    </w:pPr>
    <w:rPr>
      <w:rFonts w:ascii="Arial" w:hAnsi="Arial" w:cs="Arial"/>
      <w:i/>
    </w:rPr>
  </w:style>
  <w:style w:type="paragraph" w:styleId="1025" w:customStyle="1">
    <w:name w:val="P68B1DB1-Normal11"/>
    <w:basedOn w:val="818"/>
    <w:pPr>
      <w:pBdr/>
      <w:spacing/>
      <w:ind/>
    </w:pPr>
    <w:rPr>
      <w:rFonts w:ascii="Arial" w:hAnsi="Arial"/>
      <w:b/>
    </w:rPr>
  </w:style>
  <w:style w:type="paragraph" w:styleId="1026" w:customStyle="1">
    <w:name w:val="P68B1DB1-ListParagraph12"/>
    <w:basedOn w:val="1008"/>
    <w:pPr>
      <w:pBdr/>
      <w:spacing/>
      <w:ind/>
    </w:pPr>
    <w:rPr>
      <w:rFonts w:ascii="Arial" w:hAnsi="Arial" w:eastAsia="Calibri" w:cs="Arial"/>
    </w:rPr>
  </w:style>
  <w:style w:type="paragraph" w:styleId="1027" w:customStyle="1">
    <w:name w:val="P68B1DB1-Normal13"/>
    <w:basedOn w:val="818"/>
    <w:pPr>
      <w:pBdr/>
      <w:spacing/>
      <w:ind/>
    </w:pPr>
    <w:rPr>
      <w:rFonts w:ascii="Arial" w:hAnsi="Arial" w:eastAsia="Calibri" w:cs="Arial"/>
      <w:b/>
      <w:u w:val="single"/>
    </w:rPr>
  </w:style>
  <w:style w:type="paragraph" w:styleId="1028" w:customStyle="1">
    <w:name w:val="P68B1DB1-Footer14"/>
    <w:basedOn w:val="1001"/>
    <w:pPr>
      <w:pBdr/>
      <w:spacing/>
      <w:ind/>
    </w:pPr>
    <w:rPr>
      <w:rFonts w:ascii="Arial" w:hAnsi="Arial"/>
      <w:sz w:val="20"/>
    </w:rPr>
  </w:style>
  <w:style w:type="paragraph" w:styleId="1029" w:customStyle="1">
    <w:name w:val="P68B1DB1-Normal15"/>
    <w:basedOn w:val="818"/>
    <w:pPr>
      <w:pBdr/>
      <w:spacing/>
      <w:ind/>
    </w:pPr>
    <w:rPr>
      <w:rFonts w:ascii="Calibri" w:hAnsi="Calibri" w:eastAsia="MS Mincho" w:cs="Times New Roman"/>
    </w:rPr>
  </w:style>
  <w:style w:type="paragraph" w:styleId="1030" w:customStyle="1">
    <w:name w:val="P68B1DB1-Header16"/>
    <w:basedOn w:val="999"/>
    <w:pPr>
      <w:pBdr/>
      <w:spacing/>
      <w:ind/>
    </w:pPr>
    <w:rPr>
      <w:rFonts w:ascii="Arial" w:hAnsi="Arial" w:cs="Arial"/>
      <w:i/>
      <w:sz w:val="20"/>
    </w:rPr>
  </w:style>
  <w:style w:type="paragraph" w:styleId="1031">
    <w:name w:val="Normal (Web)"/>
    <w:basedOn w:val="818"/>
    <w:uiPriority w:val="99"/>
    <w:unhideWhenUsed/>
    <w:pPr>
      <w:pBdr/>
      <w:spacing w:after="100" w:afterAutospacing="1" w:before="100" w:beforeAutospacing="1" w:line="240" w:lineRule="auto"/>
      <w:ind/>
    </w:pPr>
    <w:rPr>
      <w:rFonts w:ascii="Times New Roman" w:hAnsi="Times New Roman" w:eastAsia="Times New Roman" w:cs="Times New Roman"/>
      <w:sz w:val="24"/>
      <w:szCs w:val="24"/>
      <w:lang w:val="sr-Latn-RS" w:eastAsia="sr-Latn-R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customXml" Target="../customXml/item1.xml" /><Relationship Id="rId14" Type="http://schemas.openxmlformats.org/officeDocument/2006/relationships/customXml" Target="../customXml/item2.xml" /><Relationship Id="rId15" Type="http://schemas.openxmlformats.org/officeDocument/2006/relationships/customXml" Target="../customXml/item3.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rget_x0020_Audiences xmlns="70b5a948-28a7-4dec-ba47-2e6d9218e2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D4AEE781861C40BBAC9620A27095E4" ma:contentTypeVersion="1" ma:contentTypeDescription="Create a new document." ma:contentTypeScope="" ma:versionID="5b37a7a6fb909c6856f176067ea9e8bf">
  <xsd:schema xmlns:xsd="http://www.w3.org/2001/XMLSchema" xmlns:xs="http://www.w3.org/2001/XMLSchema" xmlns:p="http://schemas.microsoft.com/office/2006/metadata/properties" xmlns:ns2="70b5a948-28a7-4dec-ba47-2e6d9218e221" targetNamespace="http://schemas.microsoft.com/office/2006/metadata/properties" ma:root="true" ma:fieldsID="7ddd77d5a8d0055088c15f43a9b05d13" ns2:_="">
    <xsd:import namespace="70b5a948-28a7-4dec-ba47-2e6d9218e221"/>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b5a948-28a7-4dec-ba47-2e6d9218e221" elementFormDefault="qualified">
    <xsd:import namespace="http://schemas.microsoft.com/office/2006/documentManagement/types"/>
    <xsd:import namespace="http://schemas.microsoft.com/office/infopath/2007/PartnerControl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C7EF94-3173-481A-BCA3-A7C686799EC8}">
  <ds:schemaRefs>
    <ds:schemaRef ds:uri="http://schemas.microsoft.com/sharepoint/v3/contenttype/forms"/>
  </ds:schemaRefs>
</ds:datastoreItem>
</file>

<file path=customXml/itemProps2.xml><?xml version="1.0" encoding="utf-8"?>
<ds:datastoreItem xmlns:ds="http://schemas.openxmlformats.org/officeDocument/2006/customXml" ds:itemID="{BEA264DC-8496-4D79-8831-3E558ED396E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70b5a948-28a7-4dec-ba47-2e6d9218e221"/>
    <ds:schemaRef ds:uri="http://purl.org/dc/elements/1.1/"/>
    <ds:schemaRef ds:uri="http://schemas.microsoft.com/office/2006/metadata/properties"/>
    <ds:schemaRef ds:uri="http://www.w3.org/XML/1998/namespace"/>
    <ds:schemaRef ds:uri="http://purl.org/dc/dcmitype/"/>
    <ds:schemaRef ds:uri="http://www.w3.org/2001/XMLSchema-instance"/>
  </ds:schemaRefs>
</ds:datastoreItem>
</file>

<file path=customXml/itemProps3.xml><?xml version="1.0" encoding="utf-8"?>
<ds:datastoreItem xmlns:ds="http://schemas.openxmlformats.org/officeDocument/2006/customXml" ds:itemID="{9A04740A-8309-4E51-BD23-7450FF373D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b5a948-28a7-4dec-ba47-2e6d9218e2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docProps/app.xml><?xml version="1.0" encoding="utf-8"?>
<Properties xmlns="http://schemas.openxmlformats.org/officeDocument/2006/extended-properties" xmlns:vt="http://schemas.openxmlformats.org/officeDocument/2006/docPropsVTypes">
  <Template>Normal</Template>
  <Application>onlyoffice/9.0.4.50</Application>
  <DocSecurity>8</DocSecurity>
  <ScaleCrop>0</ScaleCrop>
  <HeadingPairs>
    <vt:vector size="0" baseType="variant"/>
  </HeadingPairs>
  <TitlesOfParts>
    <vt:vector size="0" baseType="lpstr"/>
  </TitlesOfParts>
  <Company>NIS A.D.</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Miroslav Dosen</dc:creator>
  <cp:keywords>Klasifikacija: За компанијску употребу/For use in company</cp:keywords>
  <dc:description/>
  <cp:lastModifiedBy>G1 Diana Borjan</cp:lastModifiedBy>
  <cp:revision>4</cp:revision>
  <dcterms:created xsi:type="dcterms:W3CDTF">2025-10-28T12:52:00Z</dcterms:created>
  <dcterms:modified xsi:type="dcterms:W3CDTF">2026-01-21T07:33:13Z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e1fa3ccd-048c-4132-ad3c-422c4bd85f5e</vt:lpwstr>
  </property>
  <property fmtid="{D5CDD505-2E9C-101B-9397-08002B2CF9AE}" pid="3" name="GrammarlyDocumentId">
    <vt:lpwstr>7304535c745dc1c4a891528f2ec671593fb606102143c620426f3498b2868634</vt:lpwstr>
  </property>
  <property fmtid="{D5CDD505-2E9C-101B-9397-08002B2CF9AE}" pid="4" name="ContentTypeId">
    <vt:lpwstr>0x010100A4D4AEE781861C40BBAC9620A27095E4</vt:lpwstr>
  </property>
  <property fmtid="{D5CDD505-2E9C-101B-9397-08002B2CF9AE}" pid="5" name="Klasifikacija">
    <vt:lpwstr>Za-internu-upotrebu-Restricted</vt:lpwstr>
  </property>
</Properties>
</file>